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67" w:rsidRPr="001A21C4" w:rsidRDefault="00183F67" w:rsidP="00C11730">
      <w:pPr>
        <w:tabs>
          <w:tab w:val="left" w:pos="10773"/>
        </w:tabs>
        <w:ind w:right="139" w:firstLine="426"/>
        <w:jc w:val="both"/>
        <w:rPr>
          <w:rFonts w:asciiTheme="majorHAnsi" w:hAnsiTheme="majorHAnsi"/>
          <w:sz w:val="24"/>
          <w:szCs w:val="24"/>
        </w:rPr>
      </w:pPr>
    </w:p>
    <w:p w:rsidR="00DC3D5B" w:rsidRPr="001A21C4" w:rsidRDefault="00DC3D5B" w:rsidP="00C11730">
      <w:pPr>
        <w:tabs>
          <w:tab w:val="left" w:pos="10773"/>
        </w:tabs>
        <w:ind w:right="139" w:firstLine="426"/>
        <w:jc w:val="both"/>
        <w:rPr>
          <w:rFonts w:asciiTheme="majorHAnsi" w:hAnsiTheme="majorHAnsi"/>
          <w:sz w:val="24"/>
          <w:szCs w:val="24"/>
        </w:rPr>
      </w:pPr>
    </w:p>
    <w:p w:rsidR="00961F93" w:rsidRPr="001A21C4" w:rsidRDefault="00961F93" w:rsidP="00C11730">
      <w:pPr>
        <w:tabs>
          <w:tab w:val="left" w:pos="10773"/>
        </w:tabs>
        <w:ind w:right="139" w:firstLine="426"/>
        <w:jc w:val="center"/>
        <w:rPr>
          <w:rFonts w:asciiTheme="majorHAnsi" w:hAnsiTheme="majorHAnsi"/>
          <w:b/>
          <w:sz w:val="28"/>
          <w:szCs w:val="28"/>
        </w:rPr>
      </w:pPr>
      <w:r w:rsidRPr="001A21C4">
        <w:rPr>
          <w:rFonts w:asciiTheme="majorHAnsi" w:hAnsiTheme="majorHAnsi"/>
          <w:b/>
          <w:sz w:val="28"/>
          <w:szCs w:val="28"/>
        </w:rPr>
        <w:t>АНАЛИТИЧЕСКИЙ ОБЗОР</w:t>
      </w:r>
    </w:p>
    <w:p w:rsidR="00961F93" w:rsidRPr="001A21C4" w:rsidRDefault="00961F93" w:rsidP="00C11730">
      <w:pPr>
        <w:tabs>
          <w:tab w:val="left" w:pos="10773"/>
        </w:tabs>
        <w:ind w:right="139" w:firstLine="426"/>
        <w:jc w:val="center"/>
        <w:rPr>
          <w:rFonts w:asciiTheme="majorHAnsi" w:hAnsiTheme="majorHAnsi"/>
          <w:b/>
          <w:sz w:val="24"/>
          <w:szCs w:val="24"/>
        </w:rPr>
      </w:pPr>
      <w:r w:rsidRPr="001A21C4">
        <w:rPr>
          <w:rFonts w:asciiTheme="majorHAnsi" w:hAnsiTheme="majorHAnsi"/>
          <w:b/>
          <w:sz w:val="24"/>
          <w:szCs w:val="24"/>
        </w:rPr>
        <w:t>СОДЕРЖАНИЕ</w:t>
      </w:r>
    </w:p>
    <w:p w:rsidR="00961F93" w:rsidRPr="001A21C4" w:rsidRDefault="00961F93" w:rsidP="00C11730">
      <w:pPr>
        <w:tabs>
          <w:tab w:val="left" w:pos="10773"/>
        </w:tabs>
        <w:ind w:right="139" w:firstLine="426"/>
        <w:jc w:val="both"/>
        <w:rPr>
          <w:rFonts w:asciiTheme="majorHAnsi" w:hAnsiTheme="majorHAnsi"/>
          <w:sz w:val="24"/>
          <w:szCs w:val="24"/>
        </w:rPr>
      </w:pPr>
    </w:p>
    <w:p w:rsidR="00616ABC" w:rsidRPr="001A21C4" w:rsidRDefault="00616ABC" w:rsidP="00C11730">
      <w:pPr>
        <w:tabs>
          <w:tab w:val="left" w:pos="10773"/>
        </w:tabs>
        <w:ind w:right="139" w:firstLine="426"/>
        <w:jc w:val="both"/>
        <w:rPr>
          <w:rFonts w:asciiTheme="majorHAnsi" w:hAnsiTheme="majorHAnsi"/>
          <w:b/>
          <w:sz w:val="24"/>
          <w:szCs w:val="24"/>
        </w:rPr>
      </w:pPr>
    </w:p>
    <w:p w:rsidR="00961F93" w:rsidRPr="001A21C4" w:rsidRDefault="00961F93" w:rsidP="00C11730">
      <w:pPr>
        <w:tabs>
          <w:tab w:val="left" w:pos="10773"/>
          <w:tab w:val="right" w:leader="dot" w:pos="15735"/>
        </w:tabs>
        <w:ind w:right="139" w:firstLine="426"/>
        <w:jc w:val="both"/>
        <w:rPr>
          <w:rFonts w:asciiTheme="majorHAnsi" w:hAnsiTheme="majorHAnsi"/>
          <w:b/>
          <w:sz w:val="24"/>
          <w:szCs w:val="24"/>
        </w:rPr>
      </w:pPr>
      <w:r w:rsidRPr="001A21C4">
        <w:rPr>
          <w:rFonts w:asciiTheme="majorHAnsi" w:hAnsiTheme="majorHAnsi"/>
          <w:b/>
          <w:sz w:val="24"/>
          <w:szCs w:val="24"/>
        </w:rPr>
        <w:t>1. МАКРОЭКОНОМИКА</w:t>
      </w:r>
      <w:r w:rsidR="00AB4C2C">
        <w:rPr>
          <w:rFonts w:asciiTheme="majorHAnsi" w:hAnsiTheme="majorHAnsi"/>
          <w:b/>
          <w:sz w:val="24"/>
          <w:szCs w:val="24"/>
        </w:rPr>
        <w:t>……………………………………………………………………………………………………….2</w:t>
      </w:r>
    </w:p>
    <w:p w:rsidR="00961F93" w:rsidRPr="001A21C4" w:rsidRDefault="00961F93" w:rsidP="00C11730">
      <w:pPr>
        <w:tabs>
          <w:tab w:val="left" w:pos="10773"/>
          <w:tab w:val="right" w:leader="dot" w:pos="15735"/>
        </w:tabs>
        <w:ind w:right="139" w:firstLine="426"/>
        <w:jc w:val="both"/>
        <w:rPr>
          <w:rFonts w:asciiTheme="majorHAnsi" w:hAnsiTheme="majorHAnsi"/>
          <w:b/>
          <w:sz w:val="24"/>
          <w:szCs w:val="24"/>
        </w:rPr>
      </w:pPr>
    </w:p>
    <w:p w:rsidR="00961F93" w:rsidRPr="001A21C4" w:rsidRDefault="00961F93" w:rsidP="00C11730">
      <w:pPr>
        <w:tabs>
          <w:tab w:val="left" w:pos="10773"/>
          <w:tab w:val="right" w:leader="dot" w:pos="15735"/>
        </w:tabs>
        <w:ind w:right="139" w:firstLine="426"/>
        <w:jc w:val="both"/>
        <w:rPr>
          <w:rFonts w:asciiTheme="majorHAnsi" w:hAnsiTheme="majorHAnsi"/>
          <w:b/>
          <w:sz w:val="24"/>
          <w:szCs w:val="24"/>
        </w:rPr>
      </w:pPr>
      <w:r w:rsidRPr="001A21C4">
        <w:rPr>
          <w:rFonts w:asciiTheme="majorHAnsi" w:hAnsiTheme="majorHAnsi"/>
          <w:b/>
          <w:sz w:val="24"/>
          <w:szCs w:val="24"/>
        </w:rPr>
        <w:t>2. ФИНАНСЫ</w:t>
      </w:r>
      <w:r w:rsidR="00AB4C2C">
        <w:rPr>
          <w:rFonts w:asciiTheme="majorHAnsi" w:hAnsiTheme="majorHAnsi"/>
          <w:b/>
          <w:sz w:val="24"/>
          <w:szCs w:val="24"/>
        </w:rPr>
        <w:t>………………………………………</w:t>
      </w:r>
      <w:r w:rsidR="006132DC">
        <w:rPr>
          <w:rFonts w:asciiTheme="majorHAnsi" w:hAnsiTheme="majorHAnsi"/>
          <w:b/>
          <w:sz w:val="24"/>
          <w:szCs w:val="24"/>
        </w:rPr>
        <w:t>……………………………………………………………………………….</w:t>
      </w:r>
      <w:r w:rsidR="001A6946">
        <w:rPr>
          <w:rFonts w:asciiTheme="majorHAnsi" w:hAnsiTheme="majorHAnsi"/>
          <w:b/>
          <w:sz w:val="24"/>
          <w:szCs w:val="24"/>
        </w:rPr>
        <w:t>9</w:t>
      </w:r>
      <w:r w:rsidRPr="001A21C4">
        <w:rPr>
          <w:rFonts w:asciiTheme="majorHAnsi" w:hAnsiTheme="majorHAnsi"/>
          <w:b/>
          <w:sz w:val="24"/>
          <w:szCs w:val="24"/>
        </w:rPr>
        <w:t xml:space="preserve"> </w:t>
      </w:r>
    </w:p>
    <w:p w:rsidR="00961F93" w:rsidRPr="001A21C4" w:rsidRDefault="00961F93" w:rsidP="00C11730">
      <w:pPr>
        <w:tabs>
          <w:tab w:val="left" w:pos="10773"/>
          <w:tab w:val="right" w:leader="dot" w:pos="15735"/>
        </w:tabs>
        <w:ind w:right="139" w:firstLine="426"/>
        <w:jc w:val="both"/>
        <w:rPr>
          <w:rFonts w:asciiTheme="majorHAnsi" w:hAnsiTheme="majorHAnsi"/>
          <w:b/>
          <w:sz w:val="24"/>
          <w:szCs w:val="24"/>
        </w:rPr>
      </w:pPr>
    </w:p>
    <w:p w:rsidR="00961F93" w:rsidRPr="001A21C4" w:rsidRDefault="00961F93" w:rsidP="00C11730">
      <w:pPr>
        <w:tabs>
          <w:tab w:val="left" w:pos="10773"/>
          <w:tab w:val="right" w:leader="dot" w:pos="15735"/>
        </w:tabs>
        <w:ind w:right="139" w:firstLine="426"/>
        <w:jc w:val="both"/>
        <w:rPr>
          <w:rFonts w:asciiTheme="majorHAnsi" w:hAnsiTheme="majorHAnsi"/>
          <w:b/>
          <w:sz w:val="24"/>
          <w:szCs w:val="24"/>
        </w:rPr>
      </w:pPr>
      <w:r w:rsidRPr="001A21C4">
        <w:rPr>
          <w:rFonts w:asciiTheme="majorHAnsi" w:hAnsiTheme="majorHAnsi"/>
          <w:b/>
          <w:sz w:val="24"/>
          <w:szCs w:val="24"/>
        </w:rPr>
        <w:t>3. РЕАЛЬНЫЙ СЕКТОР</w:t>
      </w:r>
      <w:r w:rsidR="00AB4C2C">
        <w:rPr>
          <w:rFonts w:asciiTheme="majorHAnsi" w:hAnsiTheme="majorHAnsi"/>
          <w:b/>
          <w:sz w:val="24"/>
          <w:szCs w:val="24"/>
        </w:rPr>
        <w:t>………………………………………………………………………………………………………1</w:t>
      </w:r>
      <w:r w:rsidR="006132DC">
        <w:rPr>
          <w:rFonts w:asciiTheme="majorHAnsi" w:hAnsiTheme="majorHAnsi"/>
          <w:b/>
          <w:sz w:val="24"/>
          <w:szCs w:val="24"/>
        </w:rPr>
        <w:t>7</w:t>
      </w:r>
    </w:p>
    <w:p w:rsidR="002C1FB9" w:rsidRPr="001A21C4" w:rsidRDefault="002C1FB9" w:rsidP="00C11730">
      <w:pPr>
        <w:tabs>
          <w:tab w:val="left" w:pos="10773"/>
          <w:tab w:val="right" w:leader="dot" w:pos="15735"/>
        </w:tabs>
        <w:ind w:right="139" w:firstLine="426"/>
        <w:jc w:val="both"/>
        <w:rPr>
          <w:rFonts w:asciiTheme="majorHAnsi" w:hAnsiTheme="majorHAnsi"/>
          <w:b/>
          <w:sz w:val="24"/>
          <w:szCs w:val="24"/>
        </w:rPr>
      </w:pPr>
    </w:p>
    <w:p w:rsidR="00961F93" w:rsidRPr="001A21C4" w:rsidRDefault="002D16B1" w:rsidP="00C11730">
      <w:pPr>
        <w:tabs>
          <w:tab w:val="left" w:pos="10773"/>
          <w:tab w:val="right" w:leader="dot" w:pos="15735"/>
        </w:tabs>
        <w:ind w:right="139" w:firstLine="426"/>
        <w:jc w:val="both"/>
        <w:rPr>
          <w:rFonts w:asciiTheme="majorHAnsi" w:hAnsiTheme="majorHAnsi"/>
          <w:b/>
          <w:sz w:val="24"/>
          <w:szCs w:val="24"/>
        </w:rPr>
      </w:pPr>
      <w:r w:rsidRPr="001A21C4">
        <w:rPr>
          <w:rFonts w:asciiTheme="majorHAnsi" w:hAnsiTheme="majorHAnsi"/>
          <w:b/>
          <w:sz w:val="24"/>
          <w:szCs w:val="24"/>
        </w:rPr>
        <w:t>4</w:t>
      </w:r>
      <w:r w:rsidR="00961F93" w:rsidRPr="001A21C4">
        <w:rPr>
          <w:rFonts w:asciiTheme="majorHAnsi" w:hAnsiTheme="majorHAnsi"/>
          <w:b/>
          <w:sz w:val="24"/>
          <w:szCs w:val="24"/>
        </w:rPr>
        <w:t>. КРАТКОСРОЧНЫЙ ПРОГНОЗ</w:t>
      </w:r>
      <w:r w:rsidR="00AB4C2C">
        <w:rPr>
          <w:rFonts w:asciiTheme="majorHAnsi" w:hAnsiTheme="majorHAnsi"/>
          <w:b/>
          <w:sz w:val="24"/>
          <w:szCs w:val="24"/>
        </w:rPr>
        <w:t>………………………………………………………………………………………..</w:t>
      </w:r>
      <w:r w:rsidR="001A6946">
        <w:rPr>
          <w:rFonts w:asciiTheme="majorHAnsi" w:hAnsiTheme="majorHAnsi"/>
          <w:b/>
          <w:sz w:val="24"/>
          <w:szCs w:val="24"/>
        </w:rPr>
        <w:t>30</w:t>
      </w:r>
    </w:p>
    <w:p w:rsidR="00961F93" w:rsidRPr="001A21C4" w:rsidRDefault="00961F93" w:rsidP="00C11730">
      <w:pPr>
        <w:tabs>
          <w:tab w:val="left" w:pos="10773"/>
          <w:tab w:val="right" w:leader="dot" w:pos="15735"/>
        </w:tabs>
        <w:ind w:right="139" w:firstLine="426"/>
        <w:jc w:val="both"/>
        <w:rPr>
          <w:rFonts w:asciiTheme="majorHAnsi" w:hAnsiTheme="majorHAnsi"/>
          <w:b/>
          <w:sz w:val="24"/>
          <w:szCs w:val="24"/>
        </w:rPr>
      </w:pPr>
    </w:p>
    <w:p w:rsidR="00961F93" w:rsidRPr="001A21C4" w:rsidRDefault="002D16B1" w:rsidP="00C11730">
      <w:pPr>
        <w:tabs>
          <w:tab w:val="left" w:pos="10773"/>
          <w:tab w:val="right" w:leader="dot" w:pos="15735"/>
        </w:tabs>
        <w:ind w:right="139" w:firstLine="426"/>
        <w:jc w:val="both"/>
        <w:rPr>
          <w:rFonts w:asciiTheme="majorHAnsi" w:hAnsiTheme="majorHAnsi"/>
          <w:b/>
          <w:sz w:val="24"/>
          <w:szCs w:val="24"/>
        </w:rPr>
      </w:pPr>
      <w:r w:rsidRPr="001A21C4">
        <w:rPr>
          <w:rFonts w:asciiTheme="majorHAnsi" w:hAnsiTheme="majorHAnsi"/>
          <w:b/>
          <w:sz w:val="24"/>
          <w:szCs w:val="24"/>
        </w:rPr>
        <w:t>5</w:t>
      </w:r>
      <w:r w:rsidR="00961F93" w:rsidRPr="001A21C4">
        <w:rPr>
          <w:rFonts w:asciiTheme="majorHAnsi" w:hAnsiTheme="majorHAnsi"/>
          <w:b/>
          <w:sz w:val="24"/>
          <w:szCs w:val="24"/>
        </w:rPr>
        <w:t>. ПРИЛОЖЕНИЕ (ТАБЛИЦЫ)</w:t>
      </w:r>
      <w:r w:rsidR="00AB4C2C">
        <w:rPr>
          <w:rFonts w:asciiTheme="majorHAnsi" w:hAnsiTheme="majorHAnsi"/>
          <w:b/>
          <w:sz w:val="24"/>
          <w:szCs w:val="24"/>
        </w:rPr>
        <w:t>………………………………………………………………………………………….</w:t>
      </w:r>
      <w:r w:rsidR="006132DC">
        <w:rPr>
          <w:rFonts w:asciiTheme="majorHAnsi" w:hAnsiTheme="majorHAnsi"/>
          <w:b/>
          <w:sz w:val="24"/>
          <w:szCs w:val="24"/>
        </w:rPr>
        <w:t>3</w:t>
      </w:r>
      <w:r w:rsidR="001A6946">
        <w:rPr>
          <w:rFonts w:asciiTheme="majorHAnsi" w:hAnsiTheme="majorHAnsi"/>
          <w:b/>
          <w:sz w:val="24"/>
          <w:szCs w:val="24"/>
        </w:rPr>
        <w:t>2</w:t>
      </w:r>
    </w:p>
    <w:p w:rsidR="00F6632D" w:rsidRPr="001A21C4" w:rsidRDefault="00F6632D" w:rsidP="00C11730">
      <w:pPr>
        <w:tabs>
          <w:tab w:val="left" w:pos="10773"/>
        </w:tabs>
        <w:ind w:right="139" w:firstLine="426"/>
        <w:jc w:val="both"/>
        <w:rPr>
          <w:rFonts w:asciiTheme="majorHAnsi" w:hAnsiTheme="majorHAnsi"/>
          <w:b/>
          <w:sz w:val="24"/>
          <w:szCs w:val="24"/>
        </w:rPr>
      </w:pPr>
      <w:bookmarkStart w:id="0" w:name="макроэкономика"/>
    </w:p>
    <w:p w:rsidR="001F7F86" w:rsidRPr="001A21C4" w:rsidRDefault="001F7F86" w:rsidP="00C11730">
      <w:pPr>
        <w:tabs>
          <w:tab w:val="left" w:pos="10773"/>
        </w:tabs>
        <w:ind w:right="139" w:firstLine="426"/>
        <w:jc w:val="both"/>
        <w:rPr>
          <w:rFonts w:asciiTheme="majorHAnsi" w:hAnsiTheme="majorHAnsi"/>
          <w:sz w:val="24"/>
          <w:szCs w:val="24"/>
        </w:rPr>
      </w:pPr>
    </w:p>
    <w:p w:rsidR="002B2CF5" w:rsidRPr="001A21C4" w:rsidRDefault="002B2CF5" w:rsidP="00C11730">
      <w:pPr>
        <w:tabs>
          <w:tab w:val="left" w:pos="10773"/>
        </w:tabs>
        <w:ind w:right="139" w:firstLine="426"/>
        <w:jc w:val="both"/>
        <w:rPr>
          <w:rFonts w:asciiTheme="majorHAnsi" w:hAnsiTheme="majorHAnsi"/>
          <w:sz w:val="24"/>
          <w:szCs w:val="24"/>
        </w:rPr>
      </w:pPr>
    </w:p>
    <w:bookmarkEnd w:id="0"/>
    <w:p w:rsidR="001A21C4" w:rsidRDefault="001A21C4" w:rsidP="00C11730">
      <w:pPr>
        <w:tabs>
          <w:tab w:val="left" w:pos="10773"/>
        </w:tabs>
        <w:spacing w:after="0" w:line="240" w:lineRule="auto"/>
        <w:ind w:right="139"/>
        <w:rPr>
          <w:rFonts w:asciiTheme="majorHAnsi" w:hAnsiTheme="majorHAnsi"/>
          <w:b/>
          <w:sz w:val="28"/>
          <w:szCs w:val="28"/>
        </w:rPr>
      </w:pPr>
      <w:r>
        <w:rPr>
          <w:rFonts w:asciiTheme="majorHAnsi" w:hAnsiTheme="majorHAnsi"/>
          <w:b/>
          <w:sz w:val="28"/>
          <w:szCs w:val="28"/>
        </w:rPr>
        <w:br w:type="page"/>
      </w:r>
    </w:p>
    <w:p w:rsidR="004F1745" w:rsidRPr="00A05DC2" w:rsidRDefault="00183F67" w:rsidP="00C11730">
      <w:pPr>
        <w:tabs>
          <w:tab w:val="left" w:pos="10773"/>
        </w:tabs>
        <w:ind w:right="281"/>
        <w:jc w:val="center"/>
        <w:rPr>
          <w:rFonts w:asciiTheme="majorHAnsi" w:hAnsiTheme="majorHAnsi"/>
          <w:b/>
          <w:sz w:val="24"/>
          <w:szCs w:val="24"/>
        </w:rPr>
      </w:pPr>
      <w:r w:rsidRPr="00A05DC2">
        <w:rPr>
          <w:rFonts w:asciiTheme="majorHAnsi" w:hAnsiTheme="majorHAnsi"/>
          <w:b/>
          <w:sz w:val="24"/>
          <w:szCs w:val="24"/>
        </w:rPr>
        <w:lastRenderedPageBreak/>
        <w:t>М</w:t>
      </w:r>
      <w:r w:rsidR="004F1745" w:rsidRPr="00A05DC2">
        <w:rPr>
          <w:rFonts w:asciiTheme="majorHAnsi" w:hAnsiTheme="majorHAnsi"/>
          <w:b/>
          <w:sz w:val="24"/>
          <w:szCs w:val="24"/>
        </w:rPr>
        <w:t>АКРОЭКОНОМИКА</w:t>
      </w:r>
    </w:p>
    <w:p w:rsidR="00A05DC2" w:rsidRPr="00A05DC2" w:rsidRDefault="00A05DC2" w:rsidP="00C11730">
      <w:pPr>
        <w:tabs>
          <w:tab w:val="left" w:pos="10773"/>
        </w:tabs>
        <w:ind w:right="281"/>
        <w:rPr>
          <w:rFonts w:asciiTheme="majorHAnsi" w:hAnsiTheme="majorHAnsi"/>
          <w:b/>
          <w:sz w:val="24"/>
          <w:szCs w:val="24"/>
        </w:rPr>
      </w:pPr>
      <w:r w:rsidRPr="00A05DC2">
        <w:rPr>
          <w:rFonts w:asciiTheme="majorHAnsi" w:hAnsiTheme="majorHAnsi"/>
          <w:b/>
          <w:sz w:val="24"/>
          <w:szCs w:val="24"/>
        </w:rPr>
        <w:t>1.ВВП</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январе-марте 2014 года ВВП в текущих ценах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149,5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xml:space="preserve"> и вырос на 0,5% в сопоставимых ценах к аналогичному периоду 2013 года.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Наибольшее </w:t>
      </w:r>
      <w:r w:rsidR="007B6012">
        <w:rPr>
          <w:rFonts w:asciiTheme="majorHAnsi" w:hAnsiTheme="majorHAnsi"/>
          <w:sz w:val="24"/>
          <w:szCs w:val="24"/>
        </w:rPr>
        <w:t xml:space="preserve">влияние </w:t>
      </w:r>
      <w:r w:rsidRPr="00A05DC2">
        <w:rPr>
          <w:rFonts w:asciiTheme="majorHAnsi" w:hAnsiTheme="majorHAnsi"/>
          <w:sz w:val="24"/>
          <w:szCs w:val="24"/>
        </w:rPr>
        <w:t>на ВВП по итогам марта оказали строительство, промышленность, оптовая торговля.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Строительство скорректировало влияние на ВВП с минус 0,6 п.п. (январь-февраль 2014 года) </w:t>
      </w:r>
      <w:proofErr w:type="gramStart"/>
      <w:r w:rsidRPr="00A05DC2">
        <w:rPr>
          <w:rFonts w:asciiTheme="majorHAnsi" w:hAnsiTheme="majorHAnsi"/>
          <w:sz w:val="24"/>
          <w:szCs w:val="24"/>
        </w:rPr>
        <w:t>до</w:t>
      </w:r>
      <w:proofErr w:type="gramEnd"/>
      <w:r w:rsidRPr="00A05DC2">
        <w:rPr>
          <w:rFonts w:asciiTheme="majorHAnsi" w:hAnsiTheme="majorHAnsi"/>
          <w:sz w:val="24"/>
          <w:szCs w:val="24"/>
        </w:rPr>
        <w:t xml:space="preserve"> </w:t>
      </w:r>
      <w:proofErr w:type="gramStart"/>
      <w:r w:rsidRPr="00A05DC2">
        <w:rPr>
          <w:rFonts w:asciiTheme="majorHAnsi" w:hAnsiTheme="majorHAnsi"/>
          <w:sz w:val="24"/>
          <w:szCs w:val="24"/>
        </w:rPr>
        <w:t>плюс</w:t>
      </w:r>
      <w:proofErr w:type="gramEnd"/>
      <w:r w:rsidRPr="00A05DC2">
        <w:rPr>
          <w:rFonts w:asciiTheme="majorHAnsi" w:hAnsiTheme="majorHAnsi"/>
          <w:sz w:val="24"/>
          <w:szCs w:val="24"/>
        </w:rPr>
        <w:t xml:space="preserve"> 0,1 п. п. (январь-март 2014 года). Причиной улучшения влияния строительства на ВВП стало окончание работ на Бе</w:t>
      </w:r>
      <w:r w:rsidR="00150F06">
        <w:rPr>
          <w:rFonts w:asciiTheme="majorHAnsi" w:hAnsiTheme="majorHAnsi"/>
          <w:sz w:val="24"/>
          <w:szCs w:val="24"/>
        </w:rPr>
        <w:t>резовской ГРЭС. Часть работ была</w:t>
      </w:r>
      <w:r w:rsidRPr="00A05DC2">
        <w:rPr>
          <w:rFonts w:asciiTheme="majorHAnsi" w:hAnsiTheme="majorHAnsi"/>
          <w:sz w:val="24"/>
          <w:szCs w:val="24"/>
        </w:rPr>
        <w:t xml:space="preserve"> выполнен</w:t>
      </w:r>
      <w:r w:rsidR="00150F06">
        <w:rPr>
          <w:rFonts w:asciiTheme="majorHAnsi" w:hAnsiTheme="majorHAnsi"/>
          <w:sz w:val="24"/>
          <w:szCs w:val="24"/>
        </w:rPr>
        <w:t>а</w:t>
      </w:r>
      <w:r w:rsidRPr="00A05DC2">
        <w:rPr>
          <w:rFonts w:asciiTheme="majorHAnsi" w:hAnsiTheme="majorHAnsi"/>
          <w:sz w:val="24"/>
          <w:szCs w:val="24"/>
        </w:rPr>
        <w:t xml:space="preserve"> китайской компанией в 2013-2014 годах, однако в связи с особенностями учета работ, выполненных иностранными компаниями, уче</w:t>
      </w:r>
      <w:r w:rsidR="00150F06">
        <w:rPr>
          <w:rFonts w:asciiTheme="majorHAnsi" w:hAnsiTheme="majorHAnsi"/>
          <w:sz w:val="24"/>
          <w:szCs w:val="24"/>
        </w:rPr>
        <w:t>т проведен</w:t>
      </w:r>
      <w:r w:rsidRPr="00A05DC2">
        <w:rPr>
          <w:rFonts w:asciiTheme="majorHAnsi" w:hAnsiTheme="majorHAnsi"/>
          <w:sz w:val="24"/>
          <w:szCs w:val="24"/>
        </w:rPr>
        <w:t xml:space="preserve"> только после окончания сдачи объекта в эксплуатацию, что привело к значительному разовому объему инвестиций в основной капитал.</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Негативное влияние промышленности на ВВП по итогам марта снизилось с минус 1,5 п.п. (январь-февраль 2014 года) </w:t>
      </w:r>
      <w:proofErr w:type="gramStart"/>
      <w:r w:rsidRPr="00A05DC2">
        <w:rPr>
          <w:rFonts w:asciiTheme="majorHAnsi" w:hAnsiTheme="majorHAnsi"/>
          <w:sz w:val="24"/>
          <w:szCs w:val="24"/>
        </w:rPr>
        <w:t>до</w:t>
      </w:r>
      <w:proofErr w:type="gramEnd"/>
      <w:r w:rsidRPr="00A05DC2">
        <w:rPr>
          <w:rFonts w:asciiTheme="majorHAnsi" w:hAnsiTheme="majorHAnsi"/>
          <w:sz w:val="24"/>
          <w:szCs w:val="24"/>
        </w:rPr>
        <w:t xml:space="preserve"> минус 1,0 п.п. Причиной стал рост показателей химической промышленности</w:t>
      </w:r>
      <w:r w:rsidR="00150F06">
        <w:rPr>
          <w:rFonts w:asciiTheme="majorHAnsi" w:hAnsiTheme="majorHAnsi"/>
          <w:sz w:val="24"/>
          <w:szCs w:val="24"/>
        </w:rPr>
        <w:t xml:space="preserve"> и</w:t>
      </w:r>
      <w:r w:rsidRPr="00A05DC2">
        <w:rPr>
          <w:rFonts w:asciiTheme="majorHAnsi" w:hAnsiTheme="majorHAnsi"/>
          <w:sz w:val="24"/>
          <w:szCs w:val="24"/>
        </w:rPr>
        <w:t xml:space="preserve"> нефтепереработки.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Оптовая торговля усилила положительное влияние на ВВП с 0,1 п.п. (январь-февраль 2014 года) до 0,6 п.п. Основной причиной стало увеличение реализации калийных удобрений на экспорт.</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w:t>
      </w:r>
      <w:r w:rsidRPr="00150F06">
        <w:rPr>
          <w:rFonts w:asciiTheme="majorHAnsi" w:hAnsiTheme="majorHAnsi"/>
          <w:b/>
          <w:sz w:val="24"/>
          <w:szCs w:val="24"/>
        </w:rPr>
        <w:t>ВРП Минска</w:t>
      </w:r>
      <w:r w:rsidRPr="00A05DC2">
        <w:rPr>
          <w:rFonts w:asciiTheme="majorHAnsi" w:hAnsiTheme="majorHAnsi"/>
          <w:sz w:val="24"/>
          <w:szCs w:val="24"/>
        </w:rPr>
        <w:t xml:space="preserve"> в январе-марте 2014 года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38,2 </w:t>
      </w:r>
      <w:proofErr w:type="spellStart"/>
      <w:proofErr w:type="gramStart"/>
      <w:r w:rsidRPr="00A05DC2">
        <w:rPr>
          <w:rFonts w:asciiTheme="majorHAnsi" w:hAnsiTheme="majorHAnsi"/>
          <w:sz w:val="24"/>
          <w:szCs w:val="24"/>
        </w:rPr>
        <w:t>трлн</w:t>
      </w:r>
      <w:proofErr w:type="spellEnd"/>
      <w:proofErr w:type="gramEnd"/>
      <w:r w:rsidR="00150F06">
        <w:rPr>
          <w:rFonts w:asciiTheme="majorHAnsi" w:hAnsiTheme="majorHAnsi"/>
          <w:sz w:val="24"/>
          <w:szCs w:val="24"/>
        </w:rPr>
        <w:t>, или 25,6% от ВВП</w:t>
      </w:r>
      <w:r w:rsidRPr="00A05DC2">
        <w:rPr>
          <w:rFonts w:asciiTheme="majorHAnsi" w:hAnsiTheme="majorHAnsi"/>
          <w:sz w:val="24"/>
          <w:szCs w:val="24"/>
        </w:rPr>
        <w:t xml:space="preserve">. Прирост ВРП по итогам первого квартала 2014 года составил 1,8 % (в январе-феврале 2014 г. </w:t>
      </w:r>
      <w:r w:rsidR="00150F06">
        <w:rPr>
          <w:rFonts w:asciiTheme="majorHAnsi" w:hAnsiTheme="majorHAnsi"/>
          <w:sz w:val="24"/>
          <w:szCs w:val="24"/>
        </w:rPr>
        <w:t>–</w:t>
      </w:r>
      <w:r w:rsidRPr="00A05DC2">
        <w:rPr>
          <w:rFonts w:asciiTheme="majorHAnsi" w:hAnsiTheme="majorHAnsi"/>
          <w:sz w:val="24"/>
          <w:szCs w:val="24"/>
        </w:rPr>
        <w:t xml:space="preserve"> минус</w:t>
      </w:r>
      <w:r w:rsidR="00150F06">
        <w:rPr>
          <w:rFonts w:asciiTheme="majorHAnsi" w:hAnsiTheme="majorHAnsi"/>
          <w:sz w:val="24"/>
          <w:szCs w:val="24"/>
        </w:rPr>
        <w:t xml:space="preserve"> </w:t>
      </w:r>
      <w:r w:rsidRPr="00A05DC2">
        <w:rPr>
          <w:rFonts w:asciiTheme="majorHAnsi" w:hAnsiTheme="majorHAnsi"/>
          <w:sz w:val="24"/>
          <w:szCs w:val="24"/>
        </w:rPr>
        <w:t>0,3%)</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негативный фактор</w:t>
      </w:r>
      <w:r w:rsidR="00150F06">
        <w:rPr>
          <w:rFonts w:asciiTheme="majorHAnsi" w:hAnsiTheme="majorHAnsi"/>
          <w:sz w:val="24"/>
          <w:szCs w:val="24"/>
        </w:rPr>
        <w:t xml:space="preserve"> – </w:t>
      </w:r>
      <w:r w:rsidRPr="00A05DC2">
        <w:rPr>
          <w:rFonts w:asciiTheme="majorHAnsi" w:hAnsiTheme="majorHAnsi"/>
          <w:sz w:val="24"/>
          <w:szCs w:val="24"/>
        </w:rPr>
        <w:t>обрабатывающая</w:t>
      </w:r>
      <w:r w:rsidR="00150F06">
        <w:rPr>
          <w:rFonts w:asciiTheme="majorHAnsi" w:hAnsiTheme="majorHAnsi"/>
          <w:sz w:val="24"/>
          <w:szCs w:val="24"/>
        </w:rPr>
        <w:t xml:space="preserve"> </w:t>
      </w:r>
      <w:r w:rsidRPr="00A05DC2">
        <w:rPr>
          <w:rFonts w:asciiTheme="majorHAnsi" w:hAnsiTheme="majorHAnsi"/>
          <w:sz w:val="24"/>
          <w:szCs w:val="24"/>
        </w:rPr>
        <w:t>промышленность (влияние</w:t>
      </w:r>
      <w:r w:rsidR="00150F06">
        <w:rPr>
          <w:rFonts w:asciiTheme="majorHAnsi" w:hAnsiTheme="majorHAnsi"/>
          <w:sz w:val="24"/>
          <w:szCs w:val="24"/>
        </w:rPr>
        <w:t xml:space="preserve"> – </w:t>
      </w:r>
      <w:r w:rsidRPr="00A05DC2">
        <w:rPr>
          <w:rFonts w:asciiTheme="majorHAnsi" w:hAnsiTheme="majorHAnsi"/>
          <w:sz w:val="24"/>
          <w:szCs w:val="24"/>
        </w:rPr>
        <w:t>минус</w:t>
      </w:r>
      <w:r w:rsidR="00150F06">
        <w:rPr>
          <w:rFonts w:asciiTheme="majorHAnsi" w:hAnsiTheme="majorHAnsi"/>
          <w:sz w:val="24"/>
          <w:szCs w:val="24"/>
        </w:rPr>
        <w:t xml:space="preserve"> </w:t>
      </w:r>
      <w:r w:rsidRPr="00A05DC2">
        <w:rPr>
          <w:rFonts w:asciiTheme="majorHAnsi" w:hAnsiTheme="majorHAnsi"/>
          <w:sz w:val="24"/>
          <w:szCs w:val="24"/>
        </w:rPr>
        <w:t>2,5 п.п.)</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proofErr w:type="gramStart"/>
      <w:r w:rsidRPr="00A05DC2">
        <w:rPr>
          <w:rFonts w:asciiTheme="majorHAnsi" w:hAnsiTheme="majorHAnsi"/>
          <w:sz w:val="24"/>
          <w:szCs w:val="24"/>
        </w:rPr>
        <w:t xml:space="preserve">Основной позитивный фактор </w:t>
      </w:r>
      <w:r w:rsidR="00150F06">
        <w:rPr>
          <w:rFonts w:asciiTheme="majorHAnsi" w:hAnsiTheme="majorHAnsi"/>
          <w:sz w:val="24"/>
          <w:szCs w:val="24"/>
        </w:rPr>
        <w:t>–</w:t>
      </w:r>
      <w:r w:rsidRPr="00A05DC2">
        <w:rPr>
          <w:rFonts w:asciiTheme="majorHAnsi" w:hAnsiTheme="majorHAnsi"/>
          <w:sz w:val="24"/>
          <w:szCs w:val="24"/>
        </w:rPr>
        <w:t xml:space="preserve"> торговля</w:t>
      </w:r>
      <w:r w:rsidR="00150F06">
        <w:rPr>
          <w:rFonts w:asciiTheme="majorHAnsi" w:hAnsiTheme="majorHAnsi"/>
          <w:sz w:val="24"/>
          <w:szCs w:val="24"/>
        </w:rPr>
        <w:t xml:space="preserve"> </w:t>
      </w:r>
      <w:r w:rsidRPr="00A05DC2">
        <w:rPr>
          <w:rFonts w:asciiTheme="majorHAnsi" w:hAnsiTheme="majorHAnsi"/>
          <w:sz w:val="24"/>
          <w:szCs w:val="24"/>
        </w:rPr>
        <w:t>(влияние</w:t>
      </w:r>
      <w:r w:rsidR="00150F06">
        <w:rPr>
          <w:rFonts w:asciiTheme="majorHAnsi" w:hAnsiTheme="majorHAnsi"/>
          <w:sz w:val="24"/>
          <w:szCs w:val="24"/>
        </w:rPr>
        <w:t xml:space="preserve"> – </w:t>
      </w:r>
      <w:r w:rsidRPr="00A05DC2">
        <w:rPr>
          <w:rFonts w:asciiTheme="majorHAnsi" w:hAnsiTheme="majorHAnsi"/>
          <w:sz w:val="24"/>
          <w:szCs w:val="24"/>
        </w:rPr>
        <w:t>плюс</w:t>
      </w:r>
      <w:r w:rsidR="00150F06">
        <w:rPr>
          <w:rFonts w:asciiTheme="majorHAnsi" w:hAnsiTheme="majorHAnsi"/>
          <w:sz w:val="24"/>
          <w:szCs w:val="24"/>
        </w:rPr>
        <w:t xml:space="preserve"> </w:t>
      </w:r>
      <w:r w:rsidRPr="00A05DC2">
        <w:rPr>
          <w:rFonts w:asciiTheme="majorHAnsi" w:hAnsiTheme="majorHAnsi"/>
          <w:sz w:val="24"/>
          <w:szCs w:val="24"/>
        </w:rPr>
        <w:t>3,3 п.п., в том числе розничная</w:t>
      </w:r>
      <w:r w:rsidR="00150F06">
        <w:rPr>
          <w:rFonts w:asciiTheme="majorHAnsi" w:hAnsiTheme="majorHAnsi"/>
          <w:sz w:val="24"/>
          <w:szCs w:val="24"/>
        </w:rPr>
        <w:t xml:space="preserve"> – </w:t>
      </w:r>
      <w:r w:rsidRPr="00A05DC2">
        <w:rPr>
          <w:rFonts w:asciiTheme="majorHAnsi" w:hAnsiTheme="majorHAnsi"/>
          <w:sz w:val="24"/>
          <w:szCs w:val="24"/>
        </w:rPr>
        <w:t>1,6 п.п., оптовая</w:t>
      </w:r>
      <w:r w:rsidR="00150F06">
        <w:rPr>
          <w:rFonts w:asciiTheme="majorHAnsi" w:hAnsiTheme="majorHAnsi"/>
          <w:sz w:val="24"/>
          <w:szCs w:val="24"/>
        </w:rPr>
        <w:t xml:space="preserve"> – </w:t>
      </w:r>
      <w:r w:rsidRPr="00A05DC2">
        <w:rPr>
          <w:rFonts w:asciiTheme="majorHAnsi" w:hAnsiTheme="majorHAnsi"/>
          <w:sz w:val="24"/>
          <w:szCs w:val="24"/>
        </w:rPr>
        <w:t>1,7 п.п.)</w:t>
      </w:r>
      <w:r w:rsidR="00150F06">
        <w:rPr>
          <w:rFonts w:asciiTheme="majorHAnsi" w:hAnsiTheme="majorHAnsi"/>
          <w:sz w:val="24"/>
          <w:szCs w:val="24"/>
        </w:rPr>
        <w:t>.</w:t>
      </w:r>
      <w:r w:rsidRPr="00A05DC2">
        <w:rPr>
          <w:rFonts w:asciiTheme="majorHAnsi" w:hAnsiTheme="majorHAnsi"/>
          <w:sz w:val="24"/>
          <w:szCs w:val="24"/>
        </w:rPr>
        <w:t xml:space="preserve"> </w:t>
      </w:r>
      <w:proofErr w:type="gramEnd"/>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Улучшение ситуации в марте отмечено в оптовой и розничной торговле</w:t>
      </w:r>
      <w:r w:rsidR="002D468B">
        <w:rPr>
          <w:rFonts w:asciiTheme="majorHAnsi" w:hAnsiTheme="majorHAnsi"/>
          <w:sz w:val="24"/>
          <w:szCs w:val="24"/>
        </w:rPr>
        <w:t>,</w:t>
      </w:r>
      <w:r w:rsidRPr="00A05DC2">
        <w:rPr>
          <w:rFonts w:asciiTheme="majorHAnsi" w:hAnsiTheme="majorHAnsi"/>
          <w:sz w:val="24"/>
          <w:szCs w:val="24"/>
        </w:rPr>
        <w:t xml:space="preserve"> строительстве, транспорте. Незначительное ухудшение</w:t>
      </w:r>
      <w:r w:rsidR="00150F06">
        <w:rPr>
          <w:rFonts w:asciiTheme="majorHAnsi" w:hAnsiTheme="majorHAnsi"/>
          <w:sz w:val="24"/>
          <w:szCs w:val="24"/>
        </w:rPr>
        <w:t xml:space="preserve"> – </w:t>
      </w:r>
      <w:r w:rsidRPr="00A05DC2">
        <w:rPr>
          <w:rFonts w:asciiTheme="majorHAnsi" w:hAnsiTheme="majorHAnsi"/>
          <w:sz w:val="24"/>
          <w:szCs w:val="24"/>
        </w:rPr>
        <w:t>в</w:t>
      </w:r>
      <w:r w:rsidR="00150F06">
        <w:rPr>
          <w:rFonts w:asciiTheme="majorHAnsi" w:hAnsiTheme="majorHAnsi"/>
          <w:sz w:val="24"/>
          <w:szCs w:val="24"/>
        </w:rPr>
        <w:t xml:space="preserve"> </w:t>
      </w:r>
      <w:r w:rsidRPr="00A05DC2">
        <w:rPr>
          <w:rFonts w:asciiTheme="majorHAnsi" w:hAnsiTheme="majorHAnsi"/>
          <w:sz w:val="24"/>
          <w:szCs w:val="24"/>
        </w:rPr>
        <w:t>электроэнергетике.</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w:t>
      </w:r>
      <w:r w:rsidRPr="00150F06">
        <w:rPr>
          <w:rFonts w:asciiTheme="majorHAnsi" w:hAnsiTheme="majorHAnsi"/>
          <w:b/>
          <w:sz w:val="24"/>
          <w:szCs w:val="24"/>
        </w:rPr>
        <w:t>ВРП Минской области</w:t>
      </w:r>
      <w:r w:rsidRPr="00A05DC2">
        <w:rPr>
          <w:rFonts w:asciiTheme="majorHAnsi" w:hAnsiTheme="majorHAnsi"/>
          <w:sz w:val="24"/>
          <w:szCs w:val="24"/>
        </w:rPr>
        <w:t xml:space="preserve"> в январе-марте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19,1 </w:t>
      </w:r>
      <w:proofErr w:type="spellStart"/>
      <w:proofErr w:type="gramStart"/>
      <w:r w:rsidRPr="00A05DC2">
        <w:rPr>
          <w:rFonts w:asciiTheme="majorHAnsi" w:hAnsiTheme="majorHAnsi"/>
          <w:sz w:val="24"/>
          <w:szCs w:val="24"/>
        </w:rPr>
        <w:t>трлн</w:t>
      </w:r>
      <w:proofErr w:type="spellEnd"/>
      <w:proofErr w:type="gramEnd"/>
      <w:r w:rsidR="00150F06">
        <w:rPr>
          <w:rFonts w:asciiTheme="majorHAnsi" w:hAnsiTheme="majorHAnsi"/>
          <w:sz w:val="24"/>
          <w:szCs w:val="24"/>
        </w:rPr>
        <w:t>,</w:t>
      </w:r>
      <w:r w:rsidRPr="00A05DC2">
        <w:rPr>
          <w:rFonts w:asciiTheme="majorHAnsi" w:hAnsiTheme="majorHAnsi"/>
          <w:sz w:val="24"/>
          <w:szCs w:val="24"/>
        </w:rPr>
        <w:t xml:space="preserve"> или 12,8% от ВВП. Снижение ВРП по итогам первого квартала 2014 года составило 1,0 % (в январе-феврале 2014 г.</w:t>
      </w:r>
      <w:r w:rsidR="00150F06">
        <w:rPr>
          <w:rFonts w:asciiTheme="majorHAnsi" w:hAnsiTheme="majorHAnsi"/>
          <w:sz w:val="24"/>
          <w:szCs w:val="24"/>
        </w:rPr>
        <w:t xml:space="preserve"> – </w:t>
      </w:r>
      <w:r w:rsidRPr="00A05DC2">
        <w:rPr>
          <w:rFonts w:asciiTheme="majorHAnsi" w:hAnsiTheme="majorHAnsi"/>
          <w:sz w:val="24"/>
          <w:szCs w:val="24"/>
        </w:rPr>
        <w:t>минус</w:t>
      </w:r>
      <w:r w:rsidR="00150F06">
        <w:rPr>
          <w:rFonts w:asciiTheme="majorHAnsi" w:hAnsiTheme="majorHAnsi"/>
          <w:sz w:val="24"/>
          <w:szCs w:val="24"/>
        </w:rPr>
        <w:t xml:space="preserve"> </w:t>
      </w:r>
      <w:r w:rsidRPr="00A05DC2">
        <w:rPr>
          <w:rFonts w:asciiTheme="majorHAnsi" w:hAnsiTheme="majorHAnsi"/>
          <w:sz w:val="24"/>
          <w:szCs w:val="24"/>
        </w:rPr>
        <w:t>4,7 %)</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негативный фактор</w:t>
      </w:r>
      <w:r w:rsidR="00150F06">
        <w:rPr>
          <w:rFonts w:asciiTheme="majorHAnsi" w:hAnsiTheme="majorHAnsi"/>
          <w:sz w:val="24"/>
          <w:szCs w:val="24"/>
        </w:rPr>
        <w:t xml:space="preserve"> – </w:t>
      </w:r>
      <w:r w:rsidRPr="00A05DC2">
        <w:rPr>
          <w:rFonts w:asciiTheme="majorHAnsi" w:hAnsiTheme="majorHAnsi"/>
          <w:sz w:val="24"/>
          <w:szCs w:val="24"/>
        </w:rPr>
        <w:t>обрабатывающая</w:t>
      </w:r>
      <w:r w:rsidR="00150F06">
        <w:rPr>
          <w:rFonts w:asciiTheme="majorHAnsi" w:hAnsiTheme="majorHAnsi"/>
          <w:sz w:val="24"/>
          <w:szCs w:val="24"/>
        </w:rPr>
        <w:t xml:space="preserve"> </w:t>
      </w:r>
      <w:r w:rsidRPr="00A05DC2">
        <w:rPr>
          <w:rFonts w:asciiTheme="majorHAnsi" w:hAnsiTheme="majorHAnsi"/>
          <w:sz w:val="24"/>
          <w:szCs w:val="24"/>
        </w:rPr>
        <w:t>промышленность (влияние</w:t>
      </w:r>
      <w:r w:rsidR="002D468B">
        <w:rPr>
          <w:rFonts w:asciiTheme="majorHAnsi" w:hAnsiTheme="majorHAnsi"/>
          <w:sz w:val="24"/>
          <w:szCs w:val="24"/>
        </w:rPr>
        <w:t xml:space="preserve"> – </w:t>
      </w:r>
      <w:r w:rsidRPr="00A05DC2">
        <w:rPr>
          <w:rFonts w:asciiTheme="majorHAnsi" w:hAnsiTheme="majorHAnsi"/>
          <w:sz w:val="24"/>
          <w:szCs w:val="24"/>
        </w:rPr>
        <w:t>минус</w:t>
      </w:r>
      <w:r w:rsidR="002D468B">
        <w:rPr>
          <w:rFonts w:asciiTheme="majorHAnsi" w:hAnsiTheme="majorHAnsi"/>
          <w:sz w:val="24"/>
          <w:szCs w:val="24"/>
        </w:rPr>
        <w:t xml:space="preserve"> </w:t>
      </w:r>
      <w:r w:rsidRPr="00A05DC2">
        <w:rPr>
          <w:rFonts w:asciiTheme="majorHAnsi" w:hAnsiTheme="majorHAnsi"/>
          <w:sz w:val="24"/>
          <w:szCs w:val="24"/>
        </w:rPr>
        <w:t>0,8 п.п.)</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proofErr w:type="gramStart"/>
      <w:r w:rsidRPr="00A05DC2">
        <w:rPr>
          <w:rFonts w:asciiTheme="majorHAnsi" w:hAnsiTheme="majorHAnsi"/>
          <w:sz w:val="24"/>
          <w:szCs w:val="24"/>
        </w:rPr>
        <w:t>Основной позитивный фактор</w:t>
      </w:r>
      <w:r w:rsidR="00150F06">
        <w:rPr>
          <w:rFonts w:asciiTheme="majorHAnsi" w:hAnsiTheme="majorHAnsi"/>
          <w:sz w:val="24"/>
          <w:szCs w:val="24"/>
        </w:rPr>
        <w:t xml:space="preserve"> – </w:t>
      </w:r>
      <w:r w:rsidRPr="00A05DC2">
        <w:rPr>
          <w:rFonts w:asciiTheme="majorHAnsi" w:hAnsiTheme="majorHAnsi"/>
          <w:sz w:val="24"/>
          <w:szCs w:val="24"/>
        </w:rPr>
        <w:t>торговля</w:t>
      </w:r>
      <w:r w:rsidR="00150F06">
        <w:rPr>
          <w:rFonts w:asciiTheme="majorHAnsi" w:hAnsiTheme="majorHAnsi"/>
          <w:sz w:val="24"/>
          <w:szCs w:val="24"/>
        </w:rPr>
        <w:t xml:space="preserve"> </w:t>
      </w:r>
      <w:r w:rsidRPr="00A05DC2">
        <w:rPr>
          <w:rFonts w:asciiTheme="majorHAnsi" w:hAnsiTheme="majorHAnsi"/>
          <w:sz w:val="24"/>
          <w:szCs w:val="24"/>
        </w:rPr>
        <w:t>(влияние</w:t>
      </w:r>
      <w:r w:rsidR="00150F06">
        <w:rPr>
          <w:rFonts w:asciiTheme="majorHAnsi" w:hAnsiTheme="majorHAnsi"/>
          <w:sz w:val="24"/>
          <w:szCs w:val="24"/>
        </w:rPr>
        <w:t xml:space="preserve"> – </w:t>
      </w:r>
      <w:r w:rsidRPr="00A05DC2">
        <w:rPr>
          <w:rFonts w:asciiTheme="majorHAnsi" w:hAnsiTheme="majorHAnsi"/>
          <w:sz w:val="24"/>
          <w:szCs w:val="24"/>
        </w:rPr>
        <w:t>плюс</w:t>
      </w:r>
      <w:r w:rsidR="00150F06">
        <w:rPr>
          <w:rFonts w:asciiTheme="majorHAnsi" w:hAnsiTheme="majorHAnsi"/>
          <w:sz w:val="24"/>
          <w:szCs w:val="24"/>
        </w:rPr>
        <w:t xml:space="preserve"> </w:t>
      </w:r>
      <w:r w:rsidRPr="00A05DC2">
        <w:rPr>
          <w:rFonts w:asciiTheme="majorHAnsi" w:hAnsiTheme="majorHAnsi"/>
          <w:sz w:val="24"/>
          <w:szCs w:val="24"/>
        </w:rPr>
        <w:t>0,6 п.п., в том числе розничная</w:t>
      </w:r>
      <w:r w:rsidR="00150F06">
        <w:rPr>
          <w:rFonts w:asciiTheme="majorHAnsi" w:hAnsiTheme="majorHAnsi"/>
          <w:sz w:val="24"/>
          <w:szCs w:val="24"/>
        </w:rPr>
        <w:t xml:space="preserve"> – </w:t>
      </w:r>
      <w:r w:rsidRPr="00A05DC2">
        <w:rPr>
          <w:rFonts w:asciiTheme="majorHAnsi" w:hAnsiTheme="majorHAnsi"/>
          <w:sz w:val="24"/>
          <w:szCs w:val="24"/>
        </w:rPr>
        <w:t xml:space="preserve">1,0 п. п., оптовая </w:t>
      </w:r>
      <w:r w:rsidR="00150F06">
        <w:rPr>
          <w:rFonts w:asciiTheme="majorHAnsi" w:hAnsiTheme="majorHAnsi"/>
          <w:sz w:val="24"/>
          <w:szCs w:val="24"/>
        </w:rPr>
        <w:t>–</w:t>
      </w:r>
      <w:r w:rsidRPr="00A05DC2">
        <w:rPr>
          <w:rFonts w:asciiTheme="majorHAnsi" w:hAnsiTheme="majorHAnsi"/>
          <w:sz w:val="24"/>
          <w:szCs w:val="24"/>
        </w:rPr>
        <w:t xml:space="preserve"> минус</w:t>
      </w:r>
      <w:r w:rsidR="00150F06">
        <w:rPr>
          <w:rFonts w:asciiTheme="majorHAnsi" w:hAnsiTheme="majorHAnsi"/>
          <w:sz w:val="24"/>
          <w:szCs w:val="24"/>
        </w:rPr>
        <w:t xml:space="preserve"> </w:t>
      </w:r>
      <w:r w:rsidRPr="00A05DC2">
        <w:rPr>
          <w:rFonts w:asciiTheme="majorHAnsi" w:hAnsiTheme="majorHAnsi"/>
          <w:sz w:val="24"/>
          <w:szCs w:val="24"/>
        </w:rPr>
        <w:t>0,4 п. п.)</w:t>
      </w:r>
      <w:r w:rsidR="00150F06">
        <w:rPr>
          <w:rFonts w:asciiTheme="majorHAnsi" w:hAnsiTheme="majorHAnsi"/>
          <w:sz w:val="24"/>
          <w:szCs w:val="24"/>
        </w:rPr>
        <w:t>.</w:t>
      </w:r>
      <w:r w:rsidRPr="00A05DC2">
        <w:rPr>
          <w:rFonts w:asciiTheme="majorHAnsi" w:hAnsiTheme="majorHAnsi"/>
          <w:sz w:val="24"/>
          <w:szCs w:val="24"/>
        </w:rPr>
        <w:t xml:space="preserve"> </w:t>
      </w:r>
      <w:proofErr w:type="gramEnd"/>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Улучшение ситуации в марте отмечено в обрабатывающей промышленности, строительстве, электроэнергетике, розничной торговле, транспорте и в связи. Основное улучшение в промышленности связано с ростом показателей химической промышленности (калийные удобрения). Наиболее сложная ситуация</w:t>
      </w:r>
      <w:r w:rsidR="00150F06">
        <w:rPr>
          <w:rFonts w:asciiTheme="majorHAnsi" w:hAnsiTheme="majorHAnsi"/>
          <w:sz w:val="24"/>
          <w:szCs w:val="24"/>
        </w:rPr>
        <w:t xml:space="preserve"> – </w:t>
      </w:r>
      <w:r w:rsidRPr="00A05DC2">
        <w:rPr>
          <w:rFonts w:asciiTheme="majorHAnsi" w:hAnsiTheme="majorHAnsi"/>
          <w:sz w:val="24"/>
          <w:szCs w:val="24"/>
        </w:rPr>
        <w:t>в</w:t>
      </w:r>
      <w:r w:rsidR="00150F06">
        <w:rPr>
          <w:rFonts w:asciiTheme="majorHAnsi" w:hAnsiTheme="majorHAnsi"/>
          <w:sz w:val="24"/>
          <w:szCs w:val="24"/>
        </w:rPr>
        <w:t xml:space="preserve"> </w:t>
      </w:r>
      <w:r w:rsidRPr="00A05DC2">
        <w:rPr>
          <w:rFonts w:asciiTheme="majorHAnsi" w:hAnsiTheme="majorHAnsi"/>
          <w:sz w:val="24"/>
          <w:szCs w:val="24"/>
        </w:rPr>
        <w:t>Жодино (</w:t>
      </w:r>
      <w:proofErr w:type="spellStart"/>
      <w:r w:rsidRPr="00A05DC2">
        <w:rPr>
          <w:rFonts w:asciiTheme="majorHAnsi" w:hAnsiTheme="majorHAnsi"/>
          <w:sz w:val="24"/>
          <w:szCs w:val="24"/>
        </w:rPr>
        <w:t>БелАЗ</w:t>
      </w:r>
      <w:proofErr w:type="spellEnd"/>
      <w:r w:rsidRPr="00A05DC2">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lastRenderedPageBreak/>
        <w:t xml:space="preserve">Объем </w:t>
      </w:r>
      <w:r w:rsidRPr="00150F06">
        <w:rPr>
          <w:rFonts w:asciiTheme="majorHAnsi" w:hAnsiTheme="majorHAnsi"/>
          <w:b/>
          <w:sz w:val="24"/>
          <w:szCs w:val="24"/>
        </w:rPr>
        <w:t>ВРП Гомельской области</w:t>
      </w:r>
      <w:r w:rsidRPr="00A05DC2">
        <w:rPr>
          <w:rFonts w:asciiTheme="majorHAnsi" w:hAnsiTheme="majorHAnsi"/>
          <w:sz w:val="24"/>
          <w:szCs w:val="24"/>
        </w:rPr>
        <w:t xml:space="preserve"> в январе-марте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17,8 </w:t>
      </w:r>
      <w:proofErr w:type="spellStart"/>
      <w:proofErr w:type="gramStart"/>
      <w:r w:rsidRPr="00A05DC2">
        <w:rPr>
          <w:rFonts w:asciiTheme="majorHAnsi" w:hAnsiTheme="majorHAnsi"/>
          <w:sz w:val="24"/>
          <w:szCs w:val="24"/>
        </w:rPr>
        <w:t>трлн</w:t>
      </w:r>
      <w:proofErr w:type="spellEnd"/>
      <w:proofErr w:type="gramEnd"/>
      <w:r w:rsidR="00150F06">
        <w:rPr>
          <w:rFonts w:asciiTheme="majorHAnsi" w:hAnsiTheme="majorHAnsi"/>
          <w:sz w:val="24"/>
          <w:szCs w:val="24"/>
        </w:rPr>
        <w:t>,</w:t>
      </w:r>
      <w:r w:rsidRPr="00A05DC2">
        <w:rPr>
          <w:rFonts w:asciiTheme="majorHAnsi" w:hAnsiTheme="majorHAnsi"/>
          <w:sz w:val="24"/>
          <w:szCs w:val="24"/>
        </w:rPr>
        <w:t xml:space="preserve"> или 11,9% от ВВП. Прирост ВРП по итогам первого квартала 2014 года составил 1,9 % (в январе-феврале 2014 г.</w:t>
      </w:r>
      <w:r w:rsidR="00C11730">
        <w:rPr>
          <w:rFonts w:asciiTheme="majorHAnsi" w:hAnsiTheme="majorHAnsi"/>
          <w:sz w:val="24"/>
          <w:szCs w:val="24"/>
        </w:rPr>
        <w:t xml:space="preserve"> –</w:t>
      </w:r>
      <w:r w:rsidRPr="00A05DC2">
        <w:rPr>
          <w:rFonts w:asciiTheme="majorHAnsi" w:hAnsiTheme="majorHAnsi"/>
          <w:sz w:val="24"/>
          <w:szCs w:val="24"/>
        </w:rPr>
        <w:t xml:space="preserve"> 1,4%)</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негативный фактор</w:t>
      </w:r>
      <w:r w:rsidR="00150F06">
        <w:rPr>
          <w:rFonts w:asciiTheme="majorHAnsi" w:hAnsiTheme="majorHAnsi"/>
          <w:sz w:val="24"/>
          <w:szCs w:val="24"/>
        </w:rPr>
        <w:t xml:space="preserve"> – </w:t>
      </w:r>
      <w:r w:rsidRPr="00A05DC2">
        <w:rPr>
          <w:rFonts w:asciiTheme="majorHAnsi" w:hAnsiTheme="majorHAnsi"/>
          <w:sz w:val="24"/>
          <w:szCs w:val="24"/>
        </w:rPr>
        <w:t>электроэнергетика</w:t>
      </w:r>
      <w:r w:rsidR="00150F06">
        <w:rPr>
          <w:rFonts w:asciiTheme="majorHAnsi" w:hAnsiTheme="majorHAnsi"/>
          <w:sz w:val="24"/>
          <w:szCs w:val="24"/>
        </w:rPr>
        <w:t xml:space="preserve"> </w:t>
      </w:r>
      <w:r w:rsidRPr="00A05DC2">
        <w:rPr>
          <w:rFonts w:asciiTheme="majorHAnsi" w:hAnsiTheme="majorHAnsi"/>
          <w:sz w:val="24"/>
          <w:szCs w:val="24"/>
        </w:rPr>
        <w:t>(влияние</w:t>
      </w:r>
      <w:r w:rsidR="00C11730">
        <w:rPr>
          <w:rFonts w:asciiTheme="majorHAnsi" w:hAnsiTheme="majorHAnsi"/>
          <w:sz w:val="24"/>
          <w:szCs w:val="24"/>
        </w:rPr>
        <w:t xml:space="preserve"> – </w:t>
      </w:r>
      <w:r w:rsidRPr="00A05DC2">
        <w:rPr>
          <w:rFonts w:asciiTheme="majorHAnsi" w:hAnsiTheme="majorHAnsi"/>
          <w:sz w:val="24"/>
          <w:szCs w:val="24"/>
        </w:rPr>
        <w:t>минус</w:t>
      </w:r>
      <w:r w:rsidR="00C11730">
        <w:rPr>
          <w:rFonts w:asciiTheme="majorHAnsi" w:hAnsiTheme="majorHAnsi"/>
          <w:sz w:val="24"/>
          <w:szCs w:val="24"/>
        </w:rPr>
        <w:t xml:space="preserve"> </w:t>
      </w:r>
      <w:r w:rsidRPr="00A05DC2">
        <w:rPr>
          <w:rFonts w:asciiTheme="majorHAnsi" w:hAnsiTheme="majorHAnsi"/>
          <w:sz w:val="24"/>
          <w:szCs w:val="24"/>
        </w:rPr>
        <w:t>0,8 п.п.)</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позитивный фактор</w:t>
      </w:r>
      <w:r w:rsidR="00150F06">
        <w:rPr>
          <w:rFonts w:asciiTheme="majorHAnsi" w:hAnsiTheme="majorHAnsi"/>
          <w:sz w:val="24"/>
          <w:szCs w:val="24"/>
        </w:rPr>
        <w:t xml:space="preserve"> – </w:t>
      </w:r>
      <w:r w:rsidRPr="00A05DC2">
        <w:rPr>
          <w:rFonts w:asciiTheme="majorHAnsi" w:hAnsiTheme="majorHAnsi"/>
          <w:sz w:val="24"/>
          <w:szCs w:val="24"/>
        </w:rPr>
        <w:t>горнодобывающая</w:t>
      </w:r>
      <w:r w:rsidR="00150F06">
        <w:rPr>
          <w:rFonts w:asciiTheme="majorHAnsi" w:hAnsiTheme="majorHAnsi"/>
          <w:sz w:val="24"/>
          <w:szCs w:val="24"/>
        </w:rPr>
        <w:t xml:space="preserve"> </w:t>
      </w:r>
      <w:r w:rsidRPr="00A05DC2">
        <w:rPr>
          <w:rFonts w:asciiTheme="majorHAnsi" w:hAnsiTheme="majorHAnsi"/>
          <w:sz w:val="24"/>
          <w:szCs w:val="24"/>
        </w:rPr>
        <w:t>промышленность (влияние</w:t>
      </w:r>
      <w:r w:rsidR="00150F06">
        <w:rPr>
          <w:rFonts w:asciiTheme="majorHAnsi" w:hAnsiTheme="majorHAnsi"/>
          <w:sz w:val="24"/>
          <w:szCs w:val="24"/>
        </w:rPr>
        <w:t xml:space="preserve"> – </w:t>
      </w:r>
      <w:r w:rsidRPr="00A05DC2">
        <w:rPr>
          <w:rFonts w:asciiTheme="majorHAnsi" w:hAnsiTheme="majorHAnsi"/>
          <w:sz w:val="24"/>
          <w:szCs w:val="24"/>
        </w:rPr>
        <w:t>плюс</w:t>
      </w:r>
      <w:r w:rsidR="00150F06">
        <w:rPr>
          <w:rFonts w:asciiTheme="majorHAnsi" w:hAnsiTheme="majorHAnsi"/>
          <w:sz w:val="24"/>
          <w:szCs w:val="24"/>
        </w:rPr>
        <w:t xml:space="preserve"> </w:t>
      </w:r>
      <w:r w:rsidRPr="00A05DC2">
        <w:rPr>
          <w:rFonts w:asciiTheme="majorHAnsi" w:hAnsiTheme="majorHAnsi"/>
          <w:sz w:val="24"/>
          <w:szCs w:val="24"/>
        </w:rPr>
        <w:t>2,0 п.п.)</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Улучшение ситуации в феврале отмечено в горнодобывающей промышленности, обрабатывающей промышленности. Ухудшение ситуации отмечено в электроэнергетике, строительстве, транспорте и связи. Улучшение ситуации в горнодобывающей промышленности связано с увеличением объема сервисных работ на приобретенном </w:t>
      </w:r>
      <w:proofErr w:type="spellStart"/>
      <w:r w:rsidRPr="00A05DC2">
        <w:rPr>
          <w:rFonts w:asciiTheme="majorHAnsi" w:hAnsiTheme="majorHAnsi"/>
          <w:sz w:val="24"/>
          <w:szCs w:val="24"/>
        </w:rPr>
        <w:t>Беларусьнефтью</w:t>
      </w:r>
      <w:proofErr w:type="spellEnd"/>
      <w:r w:rsidRPr="00A05DC2">
        <w:rPr>
          <w:rFonts w:asciiTheme="majorHAnsi" w:hAnsiTheme="majorHAnsi"/>
          <w:sz w:val="24"/>
          <w:szCs w:val="24"/>
        </w:rPr>
        <w:t xml:space="preserve"> месторождении нефти  в России.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w:t>
      </w:r>
      <w:r w:rsidRPr="00150F06">
        <w:rPr>
          <w:rFonts w:asciiTheme="majorHAnsi" w:hAnsiTheme="majorHAnsi"/>
          <w:b/>
          <w:sz w:val="24"/>
          <w:szCs w:val="24"/>
        </w:rPr>
        <w:t>ВРП Брестской области</w:t>
      </w:r>
      <w:r w:rsidRPr="00A05DC2">
        <w:rPr>
          <w:rFonts w:asciiTheme="majorHAnsi" w:hAnsiTheme="majorHAnsi"/>
          <w:sz w:val="24"/>
          <w:szCs w:val="24"/>
        </w:rPr>
        <w:t xml:space="preserve"> в январе-марте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14,0 </w:t>
      </w:r>
      <w:proofErr w:type="spellStart"/>
      <w:proofErr w:type="gramStart"/>
      <w:r w:rsidRPr="00A05DC2">
        <w:rPr>
          <w:rFonts w:asciiTheme="majorHAnsi" w:hAnsiTheme="majorHAnsi"/>
          <w:sz w:val="24"/>
          <w:szCs w:val="24"/>
        </w:rPr>
        <w:t>трлн</w:t>
      </w:r>
      <w:proofErr w:type="spellEnd"/>
      <w:proofErr w:type="gramEnd"/>
      <w:r w:rsidR="00150F06">
        <w:rPr>
          <w:rFonts w:asciiTheme="majorHAnsi" w:hAnsiTheme="majorHAnsi"/>
          <w:sz w:val="24"/>
          <w:szCs w:val="24"/>
        </w:rPr>
        <w:t>, или 9,3 % от ВВП</w:t>
      </w:r>
      <w:r w:rsidRPr="00A05DC2">
        <w:rPr>
          <w:rFonts w:asciiTheme="majorHAnsi" w:hAnsiTheme="majorHAnsi"/>
          <w:sz w:val="24"/>
          <w:szCs w:val="24"/>
        </w:rPr>
        <w:t>. Прирост ВРП по итогам первого квартала 2014 года составил 3,2 % (в январе-феврале 2014 г.</w:t>
      </w:r>
      <w:r w:rsidR="00150F06">
        <w:rPr>
          <w:rFonts w:asciiTheme="majorHAnsi" w:hAnsiTheme="majorHAnsi"/>
          <w:sz w:val="24"/>
          <w:szCs w:val="24"/>
        </w:rPr>
        <w:t xml:space="preserve"> –</w:t>
      </w:r>
      <w:r w:rsidRPr="00A05DC2">
        <w:rPr>
          <w:rFonts w:asciiTheme="majorHAnsi" w:hAnsiTheme="majorHAnsi"/>
          <w:sz w:val="24"/>
          <w:szCs w:val="24"/>
        </w:rPr>
        <w:t xml:space="preserve"> минус</w:t>
      </w:r>
      <w:r w:rsidR="00150F06">
        <w:rPr>
          <w:rFonts w:asciiTheme="majorHAnsi" w:hAnsiTheme="majorHAnsi"/>
          <w:sz w:val="24"/>
          <w:szCs w:val="24"/>
        </w:rPr>
        <w:t xml:space="preserve"> </w:t>
      </w:r>
      <w:r w:rsidRPr="00A05DC2">
        <w:rPr>
          <w:rFonts w:asciiTheme="majorHAnsi" w:hAnsiTheme="majorHAnsi"/>
          <w:sz w:val="24"/>
          <w:szCs w:val="24"/>
        </w:rPr>
        <w:t>1,4 %)</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негативный фактор</w:t>
      </w:r>
      <w:r w:rsidR="00150F06">
        <w:rPr>
          <w:rFonts w:asciiTheme="majorHAnsi" w:hAnsiTheme="majorHAnsi"/>
          <w:sz w:val="24"/>
          <w:szCs w:val="24"/>
        </w:rPr>
        <w:t xml:space="preserve"> – </w:t>
      </w:r>
      <w:r w:rsidRPr="00A05DC2">
        <w:rPr>
          <w:rFonts w:asciiTheme="majorHAnsi" w:hAnsiTheme="majorHAnsi"/>
          <w:sz w:val="24"/>
          <w:szCs w:val="24"/>
        </w:rPr>
        <w:t>обрабатывающая</w:t>
      </w:r>
      <w:r w:rsidR="00150F06">
        <w:rPr>
          <w:rFonts w:asciiTheme="majorHAnsi" w:hAnsiTheme="majorHAnsi"/>
          <w:sz w:val="24"/>
          <w:szCs w:val="24"/>
        </w:rPr>
        <w:t xml:space="preserve"> </w:t>
      </w:r>
      <w:r w:rsidRPr="00A05DC2">
        <w:rPr>
          <w:rFonts w:asciiTheme="majorHAnsi" w:hAnsiTheme="majorHAnsi"/>
          <w:sz w:val="24"/>
          <w:szCs w:val="24"/>
        </w:rPr>
        <w:t>промышленность (влияние</w:t>
      </w:r>
      <w:r w:rsidR="00150F06">
        <w:rPr>
          <w:rFonts w:asciiTheme="majorHAnsi" w:hAnsiTheme="majorHAnsi"/>
          <w:sz w:val="24"/>
          <w:szCs w:val="24"/>
        </w:rPr>
        <w:t xml:space="preserve"> – </w:t>
      </w:r>
      <w:r w:rsidRPr="00A05DC2">
        <w:rPr>
          <w:rFonts w:asciiTheme="majorHAnsi" w:hAnsiTheme="majorHAnsi"/>
          <w:sz w:val="24"/>
          <w:szCs w:val="24"/>
        </w:rPr>
        <w:t>минус</w:t>
      </w:r>
      <w:r w:rsidR="00150F06">
        <w:rPr>
          <w:rFonts w:asciiTheme="majorHAnsi" w:hAnsiTheme="majorHAnsi"/>
          <w:sz w:val="24"/>
          <w:szCs w:val="24"/>
        </w:rPr>
        <w:t xml:space="preserve"> </w:t>
      </w:r>
      <w:r w:rsidRPr="00A05DC2">
        <w:rPr>
          <w:rFonts w:asciiTheme="majorHAnsi" w:hAnsiTheme="majorHAnsi"/>
          <w:sz w:val="24"/>
          <w:szCs w:val="24"/>
        </w:rPr>
        <w:t>1,3п.п.)</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позитивный фактор</w:t>
      </w:r>
      <w:r w:rsidR="00150F06">
        <w:rPr>
          <w:rFonts w:asciiTheme="majorHAnsi" w:hAnsiTheme="majorHAnsi"/>
          <w:sz w:val="24"/>
          <w:szCs w:val="24"/>
        </w:rPr>
        <w:t xml:space="preserve"> – </w:t>
      </w:r>
      <w:r w:rsidRPr="00A05DC2">
        <w:rPr>
          <w:rFonts w:asciiTheme="majorHAnsi" w:hAnsiTheme="majorHAnsi"/>
          <w:sz w:val="24"/>
          <w:szCs w:val="24"/>
        </w:rPr>
        <w:t>строительство</w:t>
      </w:r>
      <w:r w:rsidR="00150F06">
        <w:rPr>
          <w:rFonts w:asciiTheme="majorHAnsi" w:hAnsiTheme="majorHAnsi"/>
          <w:sz w:val="24"/>
          <w:szCs w:val="24"/>
        </w:rPr>
        <w:t xml:space="preserve"> </w:t>
      </w:r>
      <w:r w:rsidRPr="00A05DC2">
        <w:rPr>
          <w:rFonts w:asciiTheme="majorHAnsi" w:hAnsiTheme="majorHAnsi"/>
          <w:sz w:val="24"/>
          <w:szCs w:val="24"/>
        </w:rPr>
        <w:t xml:space="preserve">(влияние </w:t>
      </w:r>
      <w:r w:rsidR="00150F06">
        <w:rPr>
          <w:rFonts w:asciiTheme="majorHAnsi" w:hAnsiTheme="majorHAnsi"/>
          <w:sz w:val="24"/>
          <w:szCs w:val="24"/>
        </w:rPr>
        <w:t>–</w:t>
      </w:r>
      <w:r w:rsidRPr="00A05DC2">
        <w:rPr>
          <w:rFonts w:asciiTheme="majorHAnsi" w:hAnsiTheme="majorHAnsi"/>
          <w:sz w:val="24"/>
          <w:szCs w:val="24"/>
        </w:rPr>
        <w:t xml:space="preserve"> плюс</w:t>
      </w:r>
      <w:r w:rsidR="00150F06">
        <w:rPr>
          <w:rFonts w:asciiTheme="majorHAnsi" w:hAnsiTheme="majorHAnsi"/>
          <w:sz w:val="24"/>
          <w:szCs w:val="24"/>
        </w:rPr>
        <w:t xml:space="preserve"> </w:t>
      </w:r>
      <w:r w:rsidRPr="00A05DC2">
        <w:rPr>
          <w:rFonts w:asciiTheme="majorHAnsi" w:hAnsiTheme="majorHAnsi"/>
          <w:sz w:val="24"/>
          <w:szCs w:val="24"/>
        </w:rPr>
        <w:t>3,5 п.п.)</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Улучшение ситуации в марте отмечено в горнодобывающей и обрабатывающей промышленности, строительстве, транспорте и связи, оптовой торговле. Ухудшение ситуации отмечено в электроэнергетике и прочих видах деятельности.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w:t>
      </w:r>
      <w:r w:rsidRPr="00150F06">
        <w:rPr>
          <w:rFonts w:asciiTheme="majorHAnsi" w:hAnsiTheme="majorHAnsi"/>
          <w:b/>
          <w:sz w:val="24"/>
          <w:szCs w:val="24"/>
        </w:rPr>
        <w:t>ВРП Витебской области</w:t>
      </w:r>
      <w:r w:rsidRPr="00A05DC2">
        <w:rPr>
          <w:rFonts w:asciiTheme="majorHAnsi" w:hAnsiTheme="majorHAnsi"/>
          <w:sz w:val="24"/>
          <w:szCs w:val="24"/>
        </w:rPr>
        <w:t xml:space="preserve"> в январе-марте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12,5 </w:t>
      </w:r>
      <w:proofErr w:type="spellStart"/>
      <w:proofErr w:type="gramStart"/>
      <w:r w:rsidRPr="00A05DC2">
        <w:rPr>
          <w:rFonts w:asciiTheme="majorHAnsi" w:hAnsiTheme="majorHAnsi"/>
          <w:sz w:val="24"/>
          <w:szCs w:val="24"/>
        </w:rPr>
        <w:t>трлн</w:t>
      </w:r>
      <w:proofErr w:type="spellEnd"/>
      <w:proofErr w:type="gramEnd"/>
      <w:r w:rsidR="00150F06">
        <w:rPr>
          <w:rFonts w:asciiTheme="majorHAnsi" w:hAnsiTheme="majorHAnsi"/>
          <w:sz w:val="24"/>
          <w:szCs w:val="24"/>
        </w:rPr>
        <w:t>,</w:t>
      </w:r>
      <w:r w:rsidRPr="00A05DC2">
        <w:rPr>
          <w:rFonts w:asciiTheme="majorHAnsi" w:hAnsiTheme="majorHAnsi"/>
          <w:sz w:val="24"/>
          <w:szCs w:val="24"/>
        </w:rPr>
        <w:t xml:space="preserve"> или 8,4% от ВВП. Снижение ВРП по итогам первого квартала 2014 года составило 1,7 % (в январе-феврале 2014 г.</w:t>
      </w:r>
      <w:r w:rsidR="00150F06">
        <w:rPr>
          <w:rFonts w:asciiTheme="majorHAnsi" w:hAnsiTheme="majorHAnsi"/>
          <w:sz w:val="24"/>
          <w:szCs w:val="24"/>
        </w:rPr>
        <w:t xml:space="preserve"> –</w:t>
      </w:r>
      <w:r w:rsidRPr="00A05DC2">
        <w:rPr>
          <w:rFonts w:asciiTheme="majorHAnsi" w:hAnsiTheme="majorHAnsi"/>
          <w:sz w:val="24"/>
          <w:szCs w:val="24"/>
        </w:rPr>
        <w:t xml:space="preserve"> минус</w:t>
      </w:r>
      <w:r w:rsidR="00150F06">
        <w:rPr>
          <w:rFonts w:asciiTheme="majorHAnsi" w:hAnsiTheme="majorHAnsi"/>
          <w:sz w:val="24"/>
          <w:szCs w:val="24"/>
        </w:rPr>
        <w:t xml:space="preserve"> </w:t>
      </w:r>
      <w:r w:rsidRPr="00A05DC2">
        <w:rPr>
          <w:rFonts w:asciiTheme="majorHAnsi" w:hAnsiTheme="majorHAnsi"/>
          <w:sz w:val="24"/>
          <w:szCs w:val="24"/>
        </w:rPr>
        <w:t>4,5%)</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негативный фактор</w:t>
      </w:r>
      <w:r w:rsidR="00150F06">
        <w:rPr>
          <w:rFonts w:asciiTheme="majorHAnsi" w:hAnsiTheme="majorHAnsi"/>
          <w:sz w:val="24"/>
          <w:szCs w:val="24"/>
        </w:rPr>
        <w:t xml:space="preserve"> – </w:t>
      </w:r>
      <w:r w:rsidRPr="00A05DC2">
        <w:rPr>
          <w:rFonts w:asciiTheme="majorHAnsi" w:hAnsiTheme="majorHAnsi"/>
          <w:sz w:val="24"/>
          <w:szCs w:val="24"/>
        </w:rPr>
        <w:t>строительство</w:t>
      </w:r>
      <w:r w:rsidR="00150F06">
        <w:rPr>
          <w:rFonts w:asciiTheme="majorHAnsi" w:hAnsiTheme="majorHAnsi"/>
          <w:sz w:val="24"/>
          <w:szCs w:val="24"/>
        </w:rPr>
        <w:t xml:space="preserve"> </w:t>
      </w:r>
      <w:r w:rsidRPr="00A05DC2">
        <w:rPr>
          <w:rFonts w:asciiTheme="majorHAnsi" w:hAnsiTheme="majorHAnsi"/>
          <w:sz w:val="24"/>
          <w:szCs w:val="24"/>
        </w:rPr>
        <w:t>(влияние</w:t>
      </w:r>
      <w:r w:rsidR="00C11730">
        <w:rPr>
          <w:rFonts w:asciiTheme="majorHAnsi" w:hAnsiTheme="majorHAnsi"/>
          <w:sz w:val="24"/>
          <w:szCs w:val="24"/>
        </w:rPr>
        <w:t xml:space="preserve"> – </w:t>
      </w:r>
      <w:r w:rsidRPr="00A05DC2">
        <w:rPr>
          <w:rFonts w:asciiTheme="majorHAnsi" w:hAnsiTheme="majorHAnsi"/>
          <w:sz w:val="24"/>
          <w:szCs w:val="24"/>
        </w:rPr>
        <w:t>минус</w:t>
      </w:r>
      <w:r w:rsidR="00C11730">
        <w:rPr>
          <w:rFonts w:asciiTheme="majorHAnsi" w:hAnsiTheme="majorHAnsi"/>
          <w:sz w:val="24"/>
          <w:szCs w:val="24"/>
        </w:rPr>
        <w:t xml:space="preserve"> </w:t>
      </w:r>
      <w:r w:rsidRPr="00A05DC2">
        <w:rPr>
          <w:rFonts w:asciiTheme="majorHAnsi" w:hAnsiTheme="majorHAnsi"/>
          <w:sz w:val="24"/>
          <w:szCs w:val="24"/>
        </w:rPr>
        <w:t>2,2 п.п.)</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proofErr w:type="gramStart"/>
      <w:r w:rsidRPr="00A05DC2">
        <w:rPr>
          <w:rFonts w:asciiTheme="majorHAnsi" w:hAnsiTheme="majorHAnsi"/>
          <w:sz w:val="24"/>
          <w:szCs w:val="24"/>
        </w:rPr>
        <w:t>Основной позитивный фактор</w:t>
      </w:r>
      <w:r w:rsidR="00150F06">
        <w:rPr>
          <w:rFonts w:asciiTheme="majorHAnsi" w:hAnsiTheme="majorHAnsi"/>
          <w:sz w:val="24"/>
          <w:szCs w:val="24"/>
        </w:rPr>
        <w:t xml:space="preserve"> – </w:t>
      </w:r>
      <w:r w:rsidRPr="00A05DC2">
        <w:rPr>
          <w:rFonts w:asciiTheme="majorHAnsi" w:hAnsiTheme="majorHAnsi"/>
          <w:sz w:val="24"/>
          <w:szCs w:val="24"/>
        </w:rPr>
        <w:t>торговля</w:t>
      </w:r>
      <w:r w:rsidR="00150F06">
        <w:rPr>
          <w:rFonts w:asciiTheme="majorHAnsi" w:hAnsiTheme="majorHAnsi"/>
          <w:sz w:val="24"/>
          <w:szCs w:val="24"/>
        </w:rPr>
        <w:t xml:space="preserve"> </w:t>
      </w:r>
      <w:r w:rsidRPr="00A05DC2">
        <w:rPr>
          <w:rFonts w:asciiTheme="majorHAnsi" w:hAnsiTheme="majorHAnsi"/>
          <w:sz w:val="24"/>
          <w:szCs w:val="24"/>
        </w:rPr>
        <w:t xml:space="preserve">(влияние </w:t>
      </w:r>
      <w:r w:rsidR="00150F06">
        <w:rPr>
          <w:rFonts w:asciiTheme="majorHAnsi" w:hAnsiTheme="majorHAnsi"/>
          <w:sz w:val="24"/>
          <w:szCs w:val="24"/>
        </w:rPr>
        <w:t>–</w:t>
      </w:r>
      <w:r w:rsidRPr="00A05DC2">
        <w:rPr>
          <w:rFonts w:asciiTheme="majorHAnsi" w:hAnsiTheme="majorHAnsi"/>
          <w:sz w:val="24"/>
          <w:szCs w:val="24"/>
        </w:rPr>
        <w:t xml:space="preserve"> плюс</w:t>
      </w:r>
      <w:r w:rsidR="00150F06">
        <w:rPr>
          <w:rFonts w:asciiTheme="majorHAnsi" w:hAnsiTheme="majorHAnsi"/>
          <w:sz w:val="24"/>
          <w:szCs w:val="24"/>
        </w:rPr>
        <w:t xml:space="preserve"> </w:t>
      </w:r>
      <w:r w:rsidRPr="00A05DC2">
        <w:rPr>
          <w:rFonts w:asciiTheme="majorHAnsi" w:hAnsiTheme="majorHAnsi"/>
          <w:sz w:val="24"/>
          <w:szCs w:val="24"/>
        </w:rPr>
        <w:t xml:space="preserve">1,5 п.п., в том числе розничная </w:t>
      </w:r>
      <w:r w:rsidR="00150F06">
        <w:rPr>
          <w:rFonts w:asciiTheme="majorHAnsi" w:hAnsiTheme="majorHAnsi"/>
          <w:sz w:val="24"/>
          <w:szCs w:val="24"/>
        </w:rPr>
        <w:t>–</w:t>
      </w:r>
      <w:r w:rsidRPr="00A05DC2">
        <w:rPr>
          <w:rFonts w:asciiTheme="majorHAnsi" w:hAnsiTheme="majorHAnsi"/>
          <w:sz w:val="24"/>
          <w:szCs w:val="24"/>
        </w:rPr>
        <w:t xml:space="preserve"> плюс</w:t>
      </w:r>
      <w:r w:rsidR="00150F06">
        <w:rPr>
          <w:rFonts w:asciiTheme="majorHAnsi" w:hAnsiTheme="majorHAnsi"/>
          <w:sz w:val="24"/>
          <w:szCs w:val="24"/>
        </w:rPr>
        <w:t xml:space="preserve"> </w:t>
      </w:r>
      <w:r w:rsidRPr="00A05DC2">
        <w:rPr>
          <w:rFonts w:asciiTheme="majorHAnsi" w:hAnsiTheme="majorHAnsi"/>
          <w:sz w:val="24"/>
          <w:szCs w:val="24"/>
        </w:rPr>
        <w:t xml:space="preserve">0,8 п.п., оптовая </w:t>
      </w:r>
      <w:r w:rsidR="00150F06">
        <w:rPr>
          <w:rFonts w:asciiTheme="majorHAnsi" w:hAnsiTheme="majorHAnsi"/>
          <w:sz w:val="24"/>
          <w:szCs w:val="24"/>
        </w:rPr>
        <w:t>–</w:t>
      </w:r>
      <w:r w:rsidRPr="00A05DC2">
        <w:rPr>
          <w:rFonts w:asciiTheme="majorHAnsi" w:hAnsiTheme="majorHAnsi"/>
          <w:sz w:val="24"/>
          <w:szCs w:val="24"/>
        </w:rPr>
        <w:t xml:space="preserve"> плюс</w:t>
      </w:r>
      <w:r w:rsidR="00150F06">
        <w:rPr>
          <w:rFonts w:asciiTheme="majorHAnsi" w:hAnsiTheme="majorHAnsi"/>
          <w:sz w:val="24"/>
          <w:szCs w:val="24"/>
        </w:rPr>
        <w:t xml:space="preserve"> </w:t>
      </w:r>
      <w:r w:rsidRPr="00A05DC2">
        <w:rPr>
          <w:rFonts w:asciiTheme="majorHAnsi" w:hAnsiTheme="majorHAnsi"/>
          <w:sz w:val="24"/>
          <w:szCs w:val="24"/>
        </w:rPr>
        <w:t>0,7 п.п.)</w:t>
      </w:r>
      <w:r w:rsidR="00150F06">
        <w:rPr>
          <w:rFonts w:asciiTheme="majorHAnsi" w:hAnsiTheme="majorHAnsi"/>
          <w:sz w:val="24"/>
          <w:szCs w:val="24"/>
        </w:rPr>
        <w:t>.</w:t>
      </w:r>
      <w:proofErr w:type="gramEnd"/>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Улучшение ситуации в марте отмечено в обрабатывающей промышленности, строительстве, оптовой торговле, транспорте и связи. Ухудшение ситуации отмечено в электроэнергетике. Уменьшение негативного влияния строительства связано со значительным объемом строительно-монтажных работ в Новополоцке и Витебске.</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w:t>
      </w:r>
      <w:r w:rsidRPr="00150F06">
        <w:rPr>
          <w:rFonts w:asciiTheme="majorHAnsi" w:hAnsiTheme="majorHAnsi"/>
          <w:b/>
          <w:sz w:val="24"/>
          <w:szCs w:val="24"/>
        </w:rPr>
        <w:t>ВРП Могилевской области</w:t>
      </w:r>
      <w:r w:rsidRPr="00A05DC2">
        <w:rPr>
          <w:rFonts w:asciiTheme="majorHAnsi" w:hAnsiTheme="majorHAnsi"/>
          <w:sz w:val="24"/>
          <w:szCs w:val="24"/>
        </w:rPr>
        <w:t xml:space="preserve"> в январе-марте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10,7 </w:t>
      </w:r>
      <w:proofErr w:type="spellStart"/>
      <w:proofErr w:type="gramStart"/>
      <w:r w:rsidRPr="00A05DC2">
        <w:rPr>
          <w:rFonts w:asciiTheme="majorHAnsi" w:hAnsiTheme="majorHAnsi"/>
          <w:sz w:val="24"/>
          <w:szCs w:val="24"/>
        </w:rPr>
        <w:t>трлн</w:t>
      </w:r>
      <w:proofErr w:type="spellEnd"/>
      <w:proofErr w:type="gramEnd"/>
      <w:r w:rsidR="00150F06">
        <w:rPr>
          <w:rFonts w:asciiTheme="majorHAnsi" w:hAnsiTheme="majorHAnsi"/>
          <w:sz w:val="24"/>
          <w:szCs w:val="24"/>
        </w:rPr>
        <w:t>, или 7,1% от ВВП</w:t>
      </w:r>
      <w:r w:rsidRPr="00A05DC2">
        <w:rPr>
          <w:rFonts w:asciiTheme="majorHAnsi" w:hAnsiTheme="majorHAnsi"/>
          <w:sz w:val="24"/>
          <w:szCs w:val="24"/>
        </w:rPr>
        <w:t>. Снижение ВРП по итогам двух месяцев 2014 года составило 4,5 % (в январе-феврале 2014 г.</w:t>
      </w:r>
      <w:r w:rsidR="00150F06">
        <w:rPr>
          <w:rFonts w:asciiTheme="majorHAnsi" w:hAnsiTheme="majorHAnsi"/>
          <w:sz w:val="24"/>
          <w:szCs w:val="24"/>
        </w:rPr>
        <w:t xml:space="preserve"> –</w:t>
      </w:r>
      <w:r w:rsidRPr="00A05DC2">
        <w:rPr>
          <w:rFonts w:asciiTheme="majorHAnsi" w:hAnsiTheme="majorHAnsi"/>
          <w:sz w:val="24"/>
          <w:szCs w:val="24"/>
        </w:rPr>
        <w:t xml:space="preserve"> минус</w:t>
      </w:r>
      <w:r w:rsidR="00150F06">
        <w:rPr>
          <w:rFonts w:asciiTheme="majorHAnsi" w:hAnsiTheme="majorHAnsi"/>
          <w:sz w:val="24"/>
          <w:szCs w:val="24"/>
        </w:rPr>
        <w:t xml:space="preserve"> </w:t>
      </w:r>
      <w:r w:rsidRPr="00A05DC2">
        <w:rPr>
          <w:rFonts w:asciiTheme="majorHAnsi" w:hAnsiTheme="majorHAnsi"/>
          <w:sz w:val="24"/>
          <w:szCs w:val="24"/>
        </w:rPr>
        <w:t>5,0%)</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proofErr w:type="gramStart"/>
      <w:r w:rsidRPr="00A05DC2">
        <w:rPr>
          <w:rFonts w:asciiTheme="majorHAnsi" w:hAnsiTheme="majorHAnsi"/>
          <w:sz w:val="24"/>
          <w:szCs w:val="24"/>
        </w:rPr>
        <w:t>Основные негативные факторы</w:t>
      </w:r>
      <w:r w:rsidR="00150F06">
        <w:rPr>
          <w:rFonts w:asciiTheme="majorHAnsi" w:hAnsiTheme="majorHAnsi"/>
          <w:sz w:val="24"/>
          <w:szCs w:val="24"/>
        </w:rPr>
        <w:t xml:space="preserve"> – </w:t>
      </w:r>
      <w:r w:rsidRPr="00A05DC2">
        <w:rPr>
          <w:rFonts w:asciiTheme="majorHAnsi" w:hAnsiTheme="majorHAnsi"/>
          <w:sz w:val="24"/>
          <w:szCs w:val="24"/>
        </w:rPr>
        <w:t>обрабатывающая</w:t>
      </w:r>
      <w:r w:rsidR="00150F06">
        <w:rPr>
          <w:rFonts w:asciiTheme="majorHAnsi" w:hAnsiTheme="majorHAnsi"/>
          <w:sz w:val="24"/>
          <w:szCs w:val="24"/>
        </w:rPr>
        <w:t xml:space="preserve"> </w:t>
      </w:r>
      <w:r w:rsidRPr="00A05DC2">
        <w:rPr>
          <w:rFonts w:asciiTheme="majorHAnsi" w:hAnsiTheme="majorHAnsi"/>
          <w:sz w:val="24"/>
          <w:szCs w:val="24"/>
        </w:rPr>
        <w:t>промышленность (влияние</w:t>
      </w:r>
      <w:r w:rsidR="00150F06">
        <w:rPr>
          <w:rFonts w:asciiTheme="majorHAnsi" w:hAnsiTheme="majorHAnsi"/>
          <w:sz w:val="24"/>
          <w:szCs w:val="24"/>
        </w:rPr>
        <w:t xml:space="preserve"> – </w:t>
      </w:r>
      <w:r w:rsidRPr="00A05DC2">
        <w:rPr>
          <w:rFonts w:asciiTheme="majorHAnsi" w:hAnsiTheme="majorHAnsi"/>
          <w:sz w:val="24"/>
          <w:szCs w:val="24"/>
        </w:rPr>
        <w:t>минус</w:t>
      </w:r>
      <w:r w:rsidR="00150F06">
        <w:rPr>
          <w:rFonts w:asciiTheme="majorHAnsi" w:hAnsiTheme="majorHAnsi"/>
          <w:sz w:val="24"/>
          <w:szCs w:val="24"/>
        </w:rPr>
        <w:t xml:space="preserve"> </w:t>
      </w:r>
      <w:r w:rsidRPr="00A05DC2">
        <w:rPr>
          <w:rFonts w:asciiTheme="majorHAnsi" w:hAnsiTheme="majorHAnsi"/>
          <w:sz w:val="24"/>
          <w:szCs w:val="24"/>
        </w:rPr>
        <w:t>2,2 п.п.), строительство (влияние</w:t>
      </w:r>
      <w:r w:rsidR="00150F06">
        <w:rPr>
          <w:rFonts w:asciiTheme="majorHAnsi" w:hAnsiTheme="majorHAnsi"/>
          <w:sz w:val="24"/>
          <w:szCs w:val="24"/>
        </w:rPr>
        <w:t xml:space="preserve"> – </w:t>
      </w:r>
      <w:r w:rsidRPr="00A05DC2">
        <w:rPr>
          <w:rFonts w:asciiTheme="majorHAnsi" w:hAnsiTheme="majorHAnsi"/>
          <w:sz w:val="24"/>
          <w:szCs w:val="24"/>
        </w:rPr>
        <w:t>минус</w:t>
      </w:r>
      <w:r w:rsidR="00150F06">
        <w:rPr>
          <w:rFonts w:asciiTheme="majorHAnsi" w:hAnsiTheme="majorHAnsi"/>
          <w:sz w:val="24"/>
          <w:szCs w:val="24"/>
        </w:rPr>
        <w:t xml:space="preserve"> </w:t>
      </w:r>
      <w:r w:rsidRPr="00A05DC2">
        <w:rPr>
          <w:rFonts w:asciiTheme="majorHAnsi" w:hAnsiTheme="majorHAnsi"/>
          <w:sz w:val="24"/>
          <w:szCs w:val="24"/>
        </w:rPr>
        <w:t>2,2 п.п.)</w:t>
      </w:r>
      <w:r w:rsidR="00150F06">
        <w:rPr>
          <w:rFonts w:asciiTheme="majorHAnsi" w:hAnsiTheme="majorHAnsi"/>
          <w:sz w:val="24"/>
          <w:szCs w:val="24"/>
        </w:rPr>
        <w:t>.</w:t>
      </w:r>
      <w:proofErr w:type="gramEnd"/>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позитивный фактор</w:t>
      </w:r>
      <w:r w:rsidR="00150F06">
        <w:rPr>
          <w:rFonts w:asciiTheme="majorHAnsi" w:hAnsiTheme="majorHAnsi"/>
          <w:sz w:val="24"/>
          <w:szCs w:val="24"/>
        </w:rPr>
        <w:t xml:space="preserve"> – </w:t>
      </w:r>
      <w:r w:rsidRPr="00A05DC2">
        <w:rPr>
          <w:rFonts w:asciiTheme="majorHAnsi" w:hAnsiTheme="majorHAnsi"/>
          <w:sz w:val="24"/>
          <w:szCs w:val="24"/>
        </w:rPr>
        <w:t>розничная</w:t>
      </w:r>
      <w:r w:rsidR="00150F06">
        <w:rPr>
          <w:rFonts w:asciiTheme="majorHAnsi" w:hAnsiTheme="majorHAnsi"/>
          <w:sz w:val="24"/>
          <w:szCs w:val="24"/>
        </w:rPr>
        <w:t xml:space="preserve"> </w:t>
      </w:r>
      <w:r w:rsidRPr="00A05DC2">
        <w:rPr>
          <w:rFonts w:asciiTheme="majorHAnsi" w:hAnsiTheme="majorHAnsi"/>
          <w:sz w:val="24"/>
          <w:szCs w:val="24"/>
        </w:rPr>
        <w:t xml:space="preserve">торговля (влияние </w:t>
      </w:r>
      <w:r w:rsidR="00150F06">
        <w:rPr>
          <w:rFonts w:asciiTheme="majorHAnsi" w:hAnsiTheme="majorHAnsi"/>
          <w:sz w:val="24"/>
          <w:szCs w:val="24"/>
        </w:rPr>
        <w:t>–</w:t>
      </w:r>
      <w:r w:rsidRPr="00A05DC2">
        <w:rPr>
          <w:rFonts w:asciiTheme="majorHAnsi" w:hAnsiTheme="majorHAnsi"/>
          <w:sz w:val="24"/>
          <w:szCs w:val="24"/>
        </w:rPr>
        <w:t xml:space="preserve"> плюс</w:t>
      </w:r>
      <w:r w:rsidR="00150F06">
        <w:rPr>
          <w:rFonts w:asciiTheme="majorHAnsi" w:hAnsiTheme="majorHAnsi"/>
          <w:sz w:val="24"/>
          <w:szCs w:val="24"/>
        </w:rPr>
        <w:t xml:space="preserve"> </w:t>
      </w:r>
      <w:r w:rsidRPr="00A05DC2">
        <w:rPr>
          <w:rFonts w:asciiTheme="majorHAnsi" w:hAnsiTheme="majorHAnsi"/>
          <w:sz w:val="24"/>
          <w:szCs w:val="24"/>
        </w:rPr>
        <w:t xml:space="preserve">0,7п. </w:t>
      </w:r>
      <w:proofErr w:type="spellStart"/>
      <w:r w:rsidRPr="00A05DC2">
        <w:rPr>
          <w:rFonts w:asciiTheme="majorHAnsi" w:hAnsiTheme="majorHAnsi"/>
          <w:sz w:val="24"/>
          <w:szCs w:val="24"/>
        </w:rPr>
        <w:t>п</w:t>
      </w:r>
      <w:proofErr w:type="spellEnd"/>
      <w:r w:rsidRPr="00A05DC2">
        <w:rPr>
          <w:rFonts w:asciiTheme="majorHAnsi" w:hAnsiTheme="majorHAnsi"/>
          <w:sz w:val="24"/>
          <w:szCs w:val="24"/>
        </w:rPr>
        <w:t>)</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Улучшение ситуации в марте отмечено в обрабатывающей промышленности, оптовой торговле, транспорте и связи, прочих видах деятельности. Ухудшение ситуации отмечено в электроэнергетике и строительстве. Относительное улучшение в промышленности региона связано с показателями пищевой промышленности и нефтепереработки области.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lastRenderedPageBreak/>
        <w:t xml:space="preserve">Номинальное улучшение показателей ВВП произошло благодаря локальным успехам в химической промышленности. При расчете ВВП увеличение объемов производства калийных удобрений не учитывает фактор значительного падения цен на внешних рынках, что даже при увеличении количественного объема продаж не приводит к увеличению добавленной стоимости. Рост продаж калийных удобрений приводит и к улучшению показателей оптовой торговли. Лидерство Брестской области по итогам первого квартала стало возможно благодаря особенностям учета объема выполненных работ иностранными компаниями. Работы, выполненные на протяжении нескольких месяцев, учитываются после сдачи объекта в эксплуатацию, что приводит к локальному росту инвестиций в основной капитал. Благоприятным для номинальных показателей является факт постепенного уменьшения сравнительной базы 2013 года в ряде отраслей промышленности. Наилучшим образом реальную картину характеризуют финансовые показатели предприятий, где наблюдается дальнейшее ухудшение состояния </w:t>
      </w:r>
      <w:proofErr w:type="gramStart"/>
      <w:r w:rsidRPr="00A05DC2">
        <w:rPr>
          <w:rFonts w:asciiTheme="majorHAnsi" w:hAnsiTheme="majorHAnsi"/>
          <w:sz w:val="24"/>
          <w:szCs w:val="24"/>
        </w:rPr>
        <w:t>расчетов</w:t>
      </w:r>
      <w:proofErr w:type="gramEnd"/>
      <w:r w:rsidRPr="00A05DC2">
        <w:rPr>
          <w:rFonts w:asciiTheme="majorHAnsi" w:hAnsiTheme="majorHAnsi"/>
          <w:sz w:val="24"/>
          <w:szCs w:val="24"/>
        </w:rPr>
        <w:t xml:space="preserve"> и снижение объемов чистой прибыли. Негативным фактором для белорусской экономики является ситуация в Украине и России ввиду их высокого удельного веса во внешней торговле.  Вводимые санкции в отношении России могут существенным образом скорректировать продажи на российском рынке и уменьшить емкость данного рынка, а девальвация национальных валют снижает валютную выручку.</w:t>
      </w:r>
    </w:p>
    <w:p w:rsidR="00A05DC2" w:rsidRPr="00150F06" w:rsidRDefault="00A05DC2" w:rsidP="00C11730">
      <w:pPr>
        <w:tabs>
          <w:tab w:val="left" w:pos="10773"/>
        </w:tabs>
        <w:ind w:right="281"/>
        <w:jc w:val="both"/>
        <w:rPr>
          <w:rFonts w:asciiTheme="majorHAnsi" w:hAnsiTheme="majorHAnsi"/>
          <w:b/>
          <w:sz w:val="24"/>
          <w:szCs w:val="24"/>
        </w:rPr>
      </w:pPr>
      <w:r w:rsidRPr="00150F06">
        <w:rPr>
          <w:rFonts w:asciiTheme="majorHAnsi" w:hAnsiTheme="majorHAnsi"/>
          <w:b/>
          <w:sz w:val="24"/>
          <w:szCs w:val="24"/>
        </w:rPr>
        <w:t>2. Инфляция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2014 года </w:t>
      </w:r>
      <w:r w:rsidRPr="00FC6FCC">
        <w:rPr>
          <w:rFonts w:asciiTheme="majorHAnsi" w:hAnsiTheme="majorHAnsi"/>
          <w:b/>
          <w:sz w:val="24"/>
          <w:szCs w:val="24"/>
        </w:rPr>
        <w:t>потребительские цены</w:t>
      </w:r>
      <w:r w:rsidRPr="00A05DC2">
        <w:rPr>
          <w:rFonts w:asciiTheme="majorHAnsi" w:hAnsiTheme="majorHAnsi"/>
          <w:sz w:val="24"/>
          <w:szCs w:val="24"/>
        </w:rPr>
        <w:t xml:space="preserve"> выросли на 1,3%, к декабрю 2013 года цены выросли на 4,9%. Основной причиной стал рост цен на продукты питания на 1,9% и рост цен на отдельные платные услуги для населения</w:t>
      </w:r>
      <w:r w:rsidR="00150F06">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Лидером по приросту цен стала позиция "почтовая марка" (на 28,0% к февралю 2014 года). Значительно выросли цены на услуги городской телефонной связи. Абонементная плата за основной телефон для абонентов, переведенных на повременную систему, увеличилась на 22,8%, повременная плата за местные телефонные разговоры – на 20,70%</w:t>
      </w:r>
      <w:r w:rsidR="00150F06">
        <w:rPr>
          <w:rFonts w:asciiTheme="majorHAnsi" w:hAnsiTheme="majorHAnsi"/>
          <w:sz w:val="24"/>
          <w:szCs w:val="24"/>
        </w:rPr>
        <w:t>.</w:t>
      </w:r>
      <w:r w:rsidRPr="00A05DC2">
        <w:rPr>
          <w:rFonts w:asciiTheme="majorHAnsi" w:hAnsiTheme="majorHAnsi"/>
          <w:sz w:val="24"/>
          <w:szCs w:val="24"/>
        </w:rPr>
        <w:t xml:space="preserve">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Среди продуктов питания наибо</w:t>
      </w:r>
      <w:r w:rsidR="00150F06">
        <w:rPr>
          <w:rFonts w:asciiTheme="majorHAnsi" w:hAnsiTheme="majorHAnsi"/>
          <w:sz w:val="24"/>
          <w:szCs w:val="24"/>
        </w:rPr>
        <w:t>льший рост отмечен на бананы (</w:t>
      </w:r>
      <w:r w:rsidRPr="00A05DC2">
        <w:rPr>
          <w:rFonts w:asciiTheme="majorHAnsi" w:hAnsiTheme="majorHAnsi"/>
          <w:sz w:val="24"/>
          <w:szCs w:val="24"/>
        </w:rPr>
        <w:t xml:space="preserve">19,5%). В </w:t>
      </w:r>
      <w:proofErr w:type="gramStart"/>
      <w:r w:rsidRPr="00A05DC2">
        <w:rPr>
          <w:rFonts w:asciiTheme="majorHAnsi" w:hAnsiTheme="majorHAnsi"/>
          <w:sz w:val="24"/>
          <w:szCs w:val="24"/>
        </w:rPr>
        <w:t>результате</w:t>
      </w:r>
      <w:proofErr w:type="gramEnd"/>
      <w:r w:rsidRPr="00A05DC2">
        <w:rPr>
          <w:rFonts w:asciiTheme="majorHAnsi" w:hAnsiTheme="majorHAnsi"/>
          <w:sz w:val="24"/>
          <w:szCs w:val="24"/>
        </w:rPr>
        <w:t xml:space="preserve"> исключения говядины и свинины из списка социально значимой продукции существенно выросли цены на данные продукты питания. Ожидается дальнейший рост цен на мясо и продукцию из него в связи с дефицитом сырья и запретом на поставку импортной свинины из стран ЕС. Наибольшее падение цен в марте отмечено на огурцы свежие (на 22,2%)</w:t>
      </w:r>
      <w:r w:rsidR="00FC6FCC">
        <w:rPr>
          <w:rFonts w:asciiTheme="majorHAnsi" w:hAnsiTheme="majorHAnsi"/>
          <w:sz w:val="24"/>
          <w:szCs w:val="24"/>
        </w:rPr>
        <w:t>,</w:t>
      </w:r>
      <w:r w:rsidRPr="00A05DC2">
        <w:rPr>
          <w:rFonts w:asciiTheme="majorHAnsi" w:hAnsiTheme="majorHAnsi"/>
          <w:sz w:val="24"/>
          <w:szCs w:val="24"/>
        </w:rPr>
        <w:t xml:space="preserve"> что связано с увеличением импорта данной продукции из стран ЕС.</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 учетом текущей динамики были пересмотрены прогнозы по инфляции в 2014 году в сторону повышения до 16-17% (декабрь к декабрю).</w:t>
      </w:r>
    </w:p>
    <w:p w:rsidR="00A05DC2" w:rsidRPr="00A05DC2" w:rsidRDefault="00A05DC2" w:rsidP="00C11730">
      <w:pPr>
        <w:tabs>
          <w:tab w:val="left" w:pos="10773"/>
        </w:tabs>
        <w:ind w:right="281"/>
        <w:jc w:val="both"/>
        <w:rPr>
          <w:rFonts w:asciiTheme="majorHAnsi" w:hAnsiTheme="majorHAnsi"/>
          <w:sz w:val="24"/>
          <w:szCs w:val="24"/>
        </w:rPr>
      </w:pPr>
      <w:r w:rsidRPr="00FC6FCC">
        <w:rPr>
          <w:rFonts w:asciiTheme="majorHAnsi" w:hAnsiTheme="majorHAnsi"/>
          <w:b/>
          <w:sz w:val="24"/>
          <w:szCs w:val="24"/>
        </w:rPr>
        <w:t>Цены производителей промышленной продукции</w:t>
      </w:r>
      <w:r w:rsidRPr="00A05DC2">
        <w:rPr>
          <w:rFonts w:asciiTheme="majorHAnsi" w:hAnsiTheme="majorHAnsi"/>
          <w:sz w:val="24"/>
          <w:szCs w:val="24"/>
        </w:rPr>
        <w:t xml:space="preserve"> выросли на 0,8% в марте 2014 года, с начала года рост цен составил 3,0%. Наибольший рост цен наблюдался в производстве транспортных средств и оборудования (2,3%), электроэнергетике (1,9%), текстильном производстве (1,6%). Снижение цен отмечено в производстве электрооборудования (на 0,9%), прочих отраслях промышленности (на 0,6%).</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Среди отдельных позиций наибольший рост цен в марте 2014 года отмечен на макаронные изделия</w:t>
      </w:r>
      <w:r w:rsidR="00FC6FCC">
        <w:rPr>
          <w:rFonts w:asciiTheme="majorHAnsi" w:hAnsiTheme="majorHAnsi"/>
          <w:sz w:val="24"/>
          <w:szCs w:val="24"/>
        </w:rPr>
        <w:t xml:space="preserve"> </w:t>
      </w:r>
      <w:r w:rsidRPr="00A05DC2">
        <w:rPr>
          <w:rFonts w:asciiTheme="majorHAnsi" w:hAnsiTheme="majorHAnsi"/>
          <w:sz w:val="24"/>
          <w:szCs w:val="24"/>
        </w:rPr>
        <w:t>– 7,5%, самосвалы карьерные</w:t>
      </w:r>
      <w:r w:rsidR="00FC6FCC">
        <w:rPr>
          <w:rFonts w:asciiTheme="majorHAnsi" w:hAnsiTheme="majorHAnsi"/>
          <w:sz w:val="24"/>
          <w:szCs w:val="24"/>
        </w:rPr>
        <w:t xml:space="preserve"> – </w:t>
      </w:r>
      <w:r w:rsidRPr="00A05DC2">
        <w:rPr>
          <w:rFonts w:asciiTheme="majorHAnsi" w:hAnsiTheme="majorHAnsi"/>
          <w:sz w:val="24"/>
          <w:szCs w:val="24"/>
        </w:rPr>
        <w:t>5</w:t>
      </w:r>
      <w:r w:rsidR="00FC6FCC">
        <w:rPr>
          <w:rFonts w:asciiTheme="majorHAnsi" w:hAnsiTheme="majorHAnsi"/>
          <w:sz w:val="24"/>
          <w:szCs w:val="24"/>
        </w:rPr>
        <w:t>,6%, автобусы и троллейбусы –</w:t>
      </w:r>
      <w:r w:rsidRPr="00A05DC2">
        <w:rPr>
          <w:rFonts w:asciiTheme="majorHAnsi" w:hAnsiTheme="majorHAnsi"/>
          <w:sz w:val="24"/>
          <w:szCs w:val="24"/>
        </w:rPr>
        <w:t xml:space="preserve"> 5,2%, с</w:t>
      </w:r>
      <w:r w:rsidR="00FC6FCC">
        <w:rPr>
          <w:rFonts w:asciiTheme="majorHAnsi" w:hAnsiTheme="majorHAnsi"/>
          <w:sz w:val="24"/>
          <w:szCs w:val="24"/>
        </w:rPr>
        <w:t>оки фруктовые и овощные – 4,7%.</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lastRenderedPageBreak/>
        <w:t xml:space="preserve">В </w:t>
      </w:r>
      <w:proofErr w:type="gramStart"/>
      <w:r w:rsidRPr="00A05DC2">
        <w:rPr>
          <w:rFonts w:asciiTheme="majorHAnsi" w:hAnsiTheme="majorHAnsi"/>
          <w:sz w:val="24"/>
          <w:szCs w:val="24"/>
        </w:rPr>
        <w:t>апреле</w:t>
      </w:r>
      <w:proofErr w:type="gramEnd"/>
      <w:r w:rsidRPr="00A05DC2">
        <w:rPr>
          <w:rFonts w:asciiTheme="majorHAnsi" w:hAnsiTheme="majorHAnsi"/>
          <w:sz w:val="24"/>
          <w:szCs w:val="24"/>
        </w:rPr>
        <w:t xml:space="preserve"> ожидается всплеск цен в связи с ростом цен на услуги железнодорожного транспорта, были увеличены цены на сигареты, пересмотрены условия оплаты питания в детских садах, в Минске подорожал проезд в общественном транспорте.</w:t>
      </w:r>
    </w:p>
    <w:p w:rsidR="00A05DC2" w:rsidRPr="00FC6FCC" w:rsidRDefault="00A05DC2" w:rsidP="00C11730">
      <w:pPr>
        <w:tabs>
          <w:tab w:val="left" w:pos="10773"/>
        </w:tabs>
        <w:ind w:right="281"/>
        <w:jc w:val="both"/>
        <w:rPr>
          <w:rFonts w:asciiTheme="majorHAnsi" w:hAnsiTheme="majorHAnsi"/>
          <w:b/>
          <w:sz w:val="24"/>
          <w:szCs w:val="24"/>
        </w:rPr>
      </w:pPr>
      <w:r w:rsidRPr="00FC6FCC">
        <w:rPr>
          <w:rFonts w:asciiTheme="majorHAnsi" w:hAnsiTheme="majorHAnsi"/>
          <w:b/>
          <w:sz w:val="24"/>
          <w:szCs w:val="24"/>
        </w:rPr>
        <w:t>3. Республиканский бюджет</w:t>
      </w:r>
    </w:p>
    <w:p w:rsidR="00FC6FCC"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По итогам 1 квартала 2014 года республиканский бюджет исполнен с </w:t>
      </w:r>
      <w:proofErr w:type="spellStart"/>
      <w:r w:rsidRPr="00A05DC2">
        <w:rPr>
          <w:rFonts w:asciiTheme="majorHAnsi" w:hAnsiTheme="majorHAnsi"/>
          <w:sz w:val="24"/>
          <w:szCs w:val="24"/>
        </w:rPr>
        <w:t>профицитом</w:t>
      </w:r>
      <w:proofErr w:type="spellEnd"/>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658,9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что составляет 0,4% ВВП. По итогам января-февраля </w:t>
      </w:r>
      <w:proofErr w:type="spellStart"/>
      <w:r w:rsidRPr="00A05DC2">
        <w:rPr>
          <w:rFonts w:asciiTheme="majorHAnsi" w:hAnsiTheme="majorHAnsi"/>
          <w:sz w:val="24"/>
          <w:szCs w:val="24"/>
        </w:rPr>
        <w:t>профицит</w:t>
      </w:r>
      <w:proofErr w:type="spellEnd"/>
      <w:r w:rsidRPr="00A05DC2">
        <w:rPr>
          <w:rFonts w:asciiTheme="majorHAnsi" w:hAnsiTheme="majorHAnsi"/>
          <w:sz w:val="24"/>
          <w:szCs w:val="24"/>
        </w:rPr>
        <w:t xml:space="preserve"> составлял </w:t>
      </w:r>
      <w:r w:rsidRPr="00A05DC2">
        <w:rPr>
          <w:rFonts w:asciiTheme="majorHAnsi" w:hAnsiTheme="majorHAnsi"/>
          <w:sz w:val="24"/>
          <w:szCs w:val="24"/>
          <w:lang w:val="en-US"/>
        </w:rPr>
        <w:t>BYR</w:t>
      </w:r>
      <w:r w:rsidRPr="00A05DC2">
        <w:rPr>
          <w:rFonts w:asciiTheme="majorHAnsi" w:hAnsiTheme="majorHAnsi"/>
          <w:sz w:val="24"/>
          <w:szCs w:val="24"/>
        </w:rPr>
        <w:t xml:space="preserve"> 1 522,2 млрд. или 1,6% ВВП. Доходы республиканского бюджета составили </w:t>
      </w:r>
      <w:r w:rsidRPr="00A05DC2">
        <w:rPr>
          <w:rFonts w:asciiTheme="majorHAnsi" w:hAnsiTheme="majorHAnsi"/>
          <w:sz w:val="24"/>
          <w:szCs w:val="24"/>
          <w:lang w:val="en-US"/>
        </w:rPr>
        <w:t>BYR</w:t>
      </w:r>
      <w:r w:rsidRPr="00A05DC2">
        <w:rPr>
          <w:rFonts w:asciiTheme="majorHAnsi" w:hAnsiTheme="majorHAnsi"/>
          <w:sz w:val="24"/>
          <w:szCs w:val="24"/>
        </w:rPr>
        <w:t xml:space="preserve"> 24 650,9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расходы</w:t>
      </w:r>
      <w:r w:rsidR="00FC6FCC">
        <w:rPr>
          <w:rFonts w:asciiTheme="majorHAnsi" w:hAnsiTheme="majorHAnsi"/>
          <w:sz w:val="24"/>
          <w:szCs w:val="24"/>
        </w:rPr>
        <w:t xml:space="preserve"> – </w:t>
      </w:r>
      <w:r w:rsidRPr="00A05DC2">
        <w:rPr>
          <w:rFonts w:asciiTheme="majorHAnsi" w:hAnsiTheme="majorHAnsi"/>
          <w:sz w:val="24"/>
          <w:szCs w:val="24"/>
          <w:lang w:val="en-US"/>
        </w:rPr>
        <w:t>BYR</w:t>
      </w:r>
      <w:r w:rsidR="00FC6FCC">
        <w:rPr>
          <w:rFonts w:asciiTheme="majorHAnsi" w:hAnsiTheme="majorHAnsi"/>
          <w:sz w:val="24"/>
          <w:szCs w:val="24"/>
        </w:rPr>
        <w:t xml:space="preserve"> </w:t>
      </w:r>
      <w:r w:rsidRPr="00A05DC2">
        <w:rPr>
          <w:rFonts w:asciiTheme="majorHAnsi" w:hAnsiTheme="majorHAnsi"/>
          <w:sz w:val="24"/>
          <w:szCs w:val="24"/>
        </w:rPr>
        <w:t xml:space="preserve">23 992,0 млрд.  В марте отмечен наибольший объем расходов республиканского бюджета с начала года.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По итогам первого квартала поступления НДС составили 43,7% от общего объема доходов бюджета. Наблюдается значительно отставание от плана поступлений по налогу на прибыль, что связано как с изменением сроков его уплаты, так и с реальной финансовой ситуацией на предприятиях. В </w:t>
      </w:r>
      <w:proofErr w:type="gramStart"/>
      <w:r w:rsidRPr="00A05DC2">
        <w:rPr>
          <w:rFonts w:asciiTheme="majorHAnsi" w:hAnsiTheme="majorHAnsi"/>
          <w:sz w:val="24"/>
          <w:szCs w:val="24"/>
        </w:rPr>
        <w:t>первом</w:t>
      </w:r>
      <w:proofErr w:type="gramEnd"/>
      <w:r w:rsidRPr="00A05DC2">
        <w:rPr>
          <w:rFonts w:asciiTheme="majorHAnsi" w:hAnsiTheme="majorHAnsi"/>
          <w:sz w:val="24"/>
          <w:szCs w:val="24"/>
        </w:rPr>
        <w:t xml:space="preserve"> квартале собрано только 7,6% от запланированного на год объема налога на прибыль. Наблюдается недобор доходов от внешнеэкономической деятельности. До окончания 2014 года будут отсутствовать доходы от экспорта калийных удобрений в связи с отменой экспортной пошлины, отмечено снижение </w:t>
      </w:r>
      <w:proofErr w:type="spellStart"/>
      <w:r w:rsidRPr="00A05DC2">
        <w:rPr>
          <w:rFonts w:asciiTheme="majorHAnsi" w:hAnsiTheme="majorHAnsi"/>
          <w:sz w:val="24"/>
          <w:szCs w:val="24"/>
        </w:rPr>
        <w:t>профицита</w:t>
      </w:r>
      <w:proofErr w:type="spellEnd"/>
      <w:r w:rsidRPr="00A05DC2">
        <w:rPr>
          <w:rFonts w:asciiTheme="majorHAnsi" w:hAnsiTheme="majorHAnsi"/>
          <w:sz w:val="24"/>
          <w:szCs w:val="24"/>
        </w:rPr>
        <w:t xml:space="preserve"> платежей в рамках распределения импортных пошлин стран ТС. За 3 месяца </w:t>
      </w:r>
      <w:proofErr w:type="gramStart"/>
      <w:r w:rsidRPr="00A05DC2">
        <w:rPr>
          <w:rFonts w:asciiTheme="majorHAnsi" w:hAnsiTheme="majorHAnsi"/>
          <w:sz w:val="24"/>
          <w:szCs w:val="24"/>
        </w:rPr>
        <w:t>чистый</w:t>
      </w:r>
      <w:proofErr w:type="gramEnd"/>
      <w:r w:rsidRPr="00A05DC2">
        <w:rPr>
          <w:rFonts w:asciiTheme="majorHAnsi" w:hAnsiTheme="majorHAnsi"/>
          <w:sz w:val="24"/>
          <w:szCs w:val="24"/>
        </w:rPr>
        <w:t xml:space="preserve"> </w:t>
      </w:r>
      <w:proofErr w:type="spellStart"/>
      <w:r w:rsidRPr="00A05DC2">
        <w:rPr>
          <w:rFonts w:asciiTheme="majorHAnsi" w:hAnsiTheme="majorHAnsi"/>
          <w:sz w:val="24"/>
          <w:szCs w:val="24"/>
        </w:rPr>
        <w:t>профицит</w:t>
      </w:r>
      <w:proofErr w:type="spellEnd"/>
      <w:r w:rsidRPr="00A05DC2">
        <w:rPr>
          <w:rFonts w:asciiTheme="majorHAnsi" w:hAnsiTheme="majorHAnsi"/>
          <w:sz w:val="24"/>
          <w:szCs w:val="24"/>
        </w:rPr>
        <w:t xml:space="preserve"> платежей в пользу Беларуси составил </w:t>
      </w:r>
      <w:r w:rsidRPr="00A05DC2">
        <w:rPr>
          <w:rFonts w:asciiTheme="majorHAnsi" w:hAnsiTheme="majorHAnsi"/>
          <w:sz w:val="24"/>
          <w:szCs w:val="24"/>
          <w:lang w:val="en-US"/>
        </w:rPr>
        <w:t>RUB</w:t>
      </w:r>
      <w:r w:rsidRPr="00A05DC2">
        <w:rPr>
          <w:rFonts w:asciiTheme="majorHAnsi" w:hAnsiTheme="majorHAnsi"/>
          <w:sz w:val="24"/>
          <w:szCs w:val="24"/>
        </w:rPr>
        <w:t xml:space="preserve"> 550,0 млн. В янва</w:t>
      </w:r>
      <w:r w:rsidR="00FC6FCC">
        <w:rPr>
          <w:rFonts w:asciiTheme="majorHAnsi" w:hAnsiTheme="majorHAnsi"/>
          <w:sz w:val="24"/>
          <w:szCs w:val="24"/>
        </w:rPr>
        <w:t>ре-</w:t>
      </w:r>
      <w:r w:rsidRPr="00A05DC2">
        <w:rPr>
          <w:rFonts w:asciiTheme="majorHAnsi" w:hAnsiTheme="majorHAnsi"/>
          <w:sz w:val="24"/>
          <w:szCs w:val="24"/>
        </w:rPr>
        <w:t xml:space="preserve">марте 2013 года </w:t>
      </w:r>
      <w:proofErr w:type="spellStart"/>
      <w:r w:rsidRPr="00A05DC2">
        <w:rPr>
          <w:rFonts w:asciiTheme="majorHAnsi" w:hAnsiTheme="majorHAnsi"/>
          <w:sz w:val="24"/>
          <w:szCs w:val="24"/>
        </w:rPr>
        <w:t>профицит</w:t>
      </w:r>
      <w:proofErr w:type="spellEnd"/>
      <w:r w:rsidRPr="00A05DC2">
        <w:rPr>
          <w:rFonts w:asciiTheme="majorHAnsi" w:hAnsiTheme="majorHAnsi"/>
          <w:sz w:val="24"/>
          <w:szCs w:val="24"/>
        </w:rPr>
        <w:t xml:space="preserve"> составлял </w:t>
      </w:r>
      <w:r w:rsidRPr="00A05DC2">
        <w:rPr>
          <w:rFonts w:asciiTheme="majorHAnsi" w:hAnsiTheme="majorHAnsi"/>
          <w:sz w:val="24"/>
          <w:szCs w:val="24"/>
          <w:lang w:val="en-US"/>
        </w:rPr>
        <w:t>RUB</w:t>
      </w:r>
      <w:r w:rsidRPr="00A05DC2">
        <w:rPr>
          <w:rFonts w:asciiTheme="majorHAnsi" w:hAnsiTheme="majorHAnsi"/>
          <w:sz w:val="24"/>
          <w:szCs w:val="24"/>
        </w:rPr>
        <w:t xml:space="preserve"> 1 094,2 млн.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Правительство приняло </w:t>
      </w:r>
      <w:hyperlink r:id="rId8" w:history="1">
        <w:r w:rsidRPr="00A05DC2">
          <w:rPr>
            <w:rFonts w:asciiTheme="majorHAnsi" w:hAnsiTheme="majorHAnsi"/>
            <w:sz w:val="24"/>
            <w:szCs w:val="24"/>
          </w:rPr>
          <w:t>постановление</w:t>
        </w:r>
      </w:hyperlink>
      <w:r w:rsidRPr="00A05DC2">
        <w:rPr>
          <w:rFonts w:asciiTheme="majorHAnsi" w:hAnsiTheme="majorHAnsi"/>
          <w:sz w:val="24"/>
          <w:szCs w:val="24"/>
        </w:rPr>
        <w:t> от 28 марта 2014 года №282 "О формировании</w:t>
      </w:r>
      <w:r w:rsidRPr="00A05DC2">
        <w:rPr>
          <w:rFonts w:asciiTheme="majorHAnsi" w:hAnsiTheme="majorHAnsi"/>
          <w:bCs/>
          <w:sz w:val="24"/>
          <w:szCs w:val="24"/>
        </w:rPr>
        <w:t xml:space="preserve"> государственного целевого бюджетного фонда национального развития в 2014 году.</w:t>
      </w:r>
      <w:r w:rsidRPr="00A05DC2">
        <w:rPr>
          <w:rFonts w:asciiTheme="majorHAnsi" w:hAnsiTheme="majorHAnsi"/>
          <w:sz w:val="24"/>
          <w:szCs w:val="24"/>
        </w:rPr>
        <w:t> Документом установлено, что высокорентабельные организации перечислят в республиканский бюджет в государственный целевой бюджетный фонд национального развития часть прибыли (дохода) по результатам работы за 2013 год равными долями, ежемесячно, в течение 2014 года, начиная с мая. В перечень высокорентабельных организаций вошла 61 организация. Общая сумма перечислений в 2014 году составит более BYR 463,0 млрд.</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Сохраняется определенное сдерживание расходов. По итогам первого квартала расходы составили 18,7% от запланированного объема расходов в 2014 году. Наибольший объем средств выделен на общегосударственную деятельность</w:t>
      </w:r>
      <w:r w:rsidR="00FC6FCC">
        <w:rPr>
          <w:rFonts w:asciiTheme="majorHAnsi" w:hAnsiTheme="majorHAnsi"/>
          <w:sz w:val="24"/>
          <w:szCs w:val="24"/>
        </w:rPr>
        <w:t xml:space="preserve"> – </w:t>
      </w:r>
      <w:r w:rsidRPr="00A05DC2">
        <w:rPr>
          <w:rFonts w:asciiTheme="majorHAnsi" w:hAnsiTheme="majorHAnsi"/>
          <w:sz w:val="24"/>
          <w:szCs w:val="24"/>
          <w:lang w:val="en-US"/>
        </w:rPr>
        <w:t>BYR</w:t>
      </w:r>
      <w:r w:rsidR="00FC6FCC">
        <w:rPr>
          <w:rFonts w:asciiTheme="majorHAnsi" w:hAnsiTheme="majorHAnsi"/>
          <w:sz w:val="24"/>
          <w:szCs w:val="24"/>
        </w:rPr>
        <w:t xml:space="preserve"> </w:t>
      </w:r>
      <w:r w:rsidRPr="00A05DC2">
        <w:rPr>
          <w:rFonts w:asciiTheme="majorHAnsi" w:hAnsiTheme="majorHAnsi"/>
          <w:sz w:val="24"/>
          <w:szCs w:val="24"/>
        </w:rPr>
        <w:t xml:space="preserve">11 582,8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или 17,9% от запланированного на 2014 год объема.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Ожидается дальнейшее увеличение объема расходов с целью поддержания внутреннего спроса посредством субсидирования процентных ставок по кредитам. В </w:t>
      </w:r>
      <w:proofErr w:type="gramStart"/>
      <w:r w:rsidRPr="00A05DC2">
        <w:rPr>
          <w:rFonts w:asciiTheme="majorHAnsi" w:hAnsiTheme="majorHAnsi"/>
          <w:sz w:val="24"/>
          <w:szCs w:val="24"/>
        </w:rPr>
        <w:t>апреле</w:t>
      </w:r>
      <w:proofErr w:type="gramEnd"/>
      <w:r w:rsidRPr="00A05DC2">
        <w:rPr>
          <w:rFonts w:asciiTheme="majorHAnsi" w:hAnsiTheme="majorHAnsi"/>
          <w:sz w:val="24"/>
          <w:szCs w:val="24"/>
        </w:rPr>
        <w:t xml:space="preserve"> ожидается очередной квартальный пик поступления доходов, что связано с квартальным принципом уплаты НДС и налога на прибыль.</w:t>
      </w:r>
    </w:p>
    <w:p w:rsidR="00A05DC2" w:rsidRPr="00FC6FCC" w:rsidRDefault="00A05DC2" w:rsidP="00C11730">
      <w:pPr>
        <w:tabs>
          <w:tab w:val="left" w:pos="10773"/>
        </w:tabs>
        <w:ind w:right="281"/>
        <w:jc w:val="both"/>
        <w:rPr>
          <w:rFonts w:asciiTheme="majorHAnsi" w:hAnsiTheme="majorHAnsi"/>
          <w:b/>
          <w:sz w:val="24"/>
          <w:szCs w:val="24"/>
        </w:rPr>
      </w:pPr>
      <w:r w:rsidRPr="00FC6FCC">
        <w:rPr>
          <w:rFonts w:asciiTheme="majorHAnsi" w:hAnsiTheme="majorHAnsi"/>
          <w:b/>
          <w:sz w:val="24"/>
          <w:szCs w:val="24"/>
        </w:rPr>
        <w:t>4. Внешняя торговля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январе-феврале сальдо внешней торговли товарами сложилось отрицательным и составило минус USD 173,8 млн. Экспорт составил USD 5 695,0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что на 4,1 % меньше, чем в январе-феврале 2013 года. Импорт составил USD 5 868,8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что на 9,3 % меньше, чем в январе-феврале 2013 года. Более существенное сокращение импорта по</w:t>
      </w:r>
      <w:r w:rsidR="00FC6FCC">
        <w:rPr>
          <w:rFonts w:asciiTheme="majorHAnsi" w:hAnsiTheme="majorHAnsi"/>
          <w:sz w:val="24"/>
          <w:szCs w:val="24"/>
        </w:rPr>
        <w:t xml:space="preserve"> сравнению с темпами сокращения</w:t>
      </w:r>
      <w:r w:rsidRPr="00A05DC2">
        <w:rPr>
          <w:rFonts w:asciiTheme="majorHAnsi" w:hAnsiTheme="majorHAnsi"/>
          <w:sz w:val="24"/>
          <w:szCs w:val="24"/>
        </w:rPr>
        <w:t xml:space="preserve"> объемов экспорта привело к </w:t>
      </w:r>
      <w:r w:rsidR="00FC6FCC">
        <w:rPr>
          <w:rFonts w:asciiTheme="majorHAnsi" w:hAnsiTheme="majorHAnsi"/>
          <w:sz w:val="24"/>
          <w:szCs w:val="24"/>
        </w:rPr>
        <w:t>уменьшению</w:t>
      </w:r>
      <w:r w:rsidRPr="00A05DC2">
        <w:rPr>
          <w:rFonts w:asciiTheme="majorHAnsi" w:hAnsiTheme="majorHAnsi"/>
          <w:sz w:val="24"/>
          <w:szCs w:val="24"/>
        </w:rPr>
        <w:t xml:space="preserve"> отрицательного сальдо внешней торговли товарами. В </w:t>
      </w:r>
      <w:proofErr w:type="gramStart"/>
      <w:r w:rsidRPr="00A05DC2">
        <w:rPr>
          <w:rFonts w:asciiTheme="majorHAnsi" w:hAnsiTheme="majorHAnsi"/>
          <w:sz w:val="24"/>
          <w:szCs w:val="24"/>
        </w:rPr>
        <w:t>январе-феврале</w:t>
      </w:r>
      <w:proofErr w:type="gramEnd"/>
      <w:r w:rsidRPr="00A05DC2">
        <w:rPr>
          <w:rFonts w:asciiTheme="majorHAnsi" w:hAnsiTheme="majorHAnsi"/>
          <w:sz w:val="24"/>
          <w:szCs w:val="24"/>
        </w:rPr>
        <w:t xml:space="preserve"> 2013 года сальдо внешней торговли товарами составляло минус </w:t>
      </w:r>
      <w:r w:rsidRPr="00A05DC2">
        <w:rPr>
          <w:rFonts w:asciiTheme="majorHAnsi" w:hAnsiTheme="majorHAnsi"/>
          <w:sz w:val="24"/>
          <w:szCs w:val="24"/>
          <w:lang w:val="en-US"/>
        </w:rPr>
        <w:t>USD</w:t>
      </w:r>
      <w:r w:rsidRPr="00A05DC2">
        <w:rPr>
          <w:rFonts w:asciiTheme="majorHAnsi" w:hAnsiTheme="majorHAnsi"/>
          <w:sz w:val="24"/>
          <w:szCs w:val="24"/>
        </w:rPr>
        <w:t xml:space="preserve"> 426,5 млн</w:t>
      </w:r>
      <w:r w:rsidR="00FC6FCC">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lastRenderedPageBreak/>
        <w:t>Общая ситуация – снижение цен как на поставляемые товары по экспорту, так и на получаемые по импорту, замедление производственной активности в машиностроении, что отражается в снижении импорта товаров сырьевой группы, при этом импорт товаров потребительской группы растет, благодаря увеличению доходов населения.</w:t>
      </w:r>
    </w:p>
    <w:p w:rsidR="00A05DC2" w:rsidRPr="00FC6FCC" w:rsidRDefault="00A05DC2" w:rsidP="00C11730">
      <w:pPr>
        <w:tabs>
          <w:tab w:val="left" w:pos="10773"/>
        </w:tabs>
        <w:ind w:right="281"/>
        <w:jc w:val="both"/>
        <w:rPr>
          <w:rFonts w:asciiTheme="majorHAnsi" w:hAnsiTheme="majorHAnsi"/>
          <w:b/>
          <w:sz w:val="24"/>
          <w:szCs w:val="24"/>
        </w:rPr>
      </w:pPr>
      <w:r w:rsidRPr="00FC6FCC">
        <w:rPr>
          <w:rFonts w:asciiTheme="majorHAnsi" w:hAnsiTheme="majorHAnsi"/>
          <w:b/>
          <w:sz w:val="24"/>
          <w:szCs w:val="24"/>
        </w:rPr>
        <w:t>Экспорт</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Наиболее существенное снижение в январе-феврале 2014 года к январю-февралю 2013 года  отмечено по нефтепродуктам. Объем поставок составил </w:t>
      </w:r>
      <w:r w:rsidRPr="00A05DC2">
        <w:rPr>
          <w:rFonts w:asciiTheme="majorHAnsi" w:hAnsiTheme="majorHAnsi"/>
          <w:sz w:val="24"/>
          <w:szCs w:val="24"/>
          <w:lang w:val="en-US"/>
        </w:rPr>
        <w:t>USD</w:t>
      </w:r>
      <w:r w:rsidRPr="00A05DC2">
        <w:rPr>
          <w:rFonts w:asciiTheme="majorHAnsi" w:hAnsiTheme="majorHAnsi"/>
          <w:sz w:val="24"/>
          <w:szCs w:val="24"/>
        </w:rPr>
        <w:t xml:space="preserve"> 1 837,0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что на </w:t>
      </w:r>
      <w:r w:rsidRPr="00A05DC2">
        <w:rPr>
          <w:rFonts w:asciiTheme="majorHAnsi" w:hAnsiTheme="majorHAnsi"/>
          <w:sz w:val="24"/>
          <w:szCs w:val="24"/>
          <w:lang w:val="en-US"/>
        </w:rPr>
        <w:t>USD</w:t>
      </w:r>
      <w:r w:rsidRPr="00A05DC2">
        <w:rPr>
          <w:rFonts w:asciiTheme="majorHAnsi" w:hAnsiTheme="majorHAnsi"/>
          <w:sz w:val="24"/>
          <w:szCs w:val="24"/>
        </w:rPr>
        <w:t xml:space="preserve"> 266,7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меньше, чем в январе-феврале 2013 года. Снижение стоимостных объемов экспорта обусловлено уменьшением физических объемов поставок, снижением цен, переориентацией части поставок из стран ЕС в Россию. Произошли определенные изменения в объемах поставок традиционным покупателям. Экспорт в Нидерланды снизился в 4,2 раза до </w:t>
      </w:r>
      <w:r w:rsidRPr="00A05DC2">
        <w:rPr>
          <w:rFonts w:asciiTheme="majorHAnsi" w:hAnsiTheme="majorHAnsi"/>
          <w:sz w:val="24"/>
          <w:szCs w:val="24"/>
          <w:lang w:val="en-US"/>
        </w:rPr>
        <w:t>USD</w:t>
      </w:r>
      <w:r w:rsidRPr="00A05DC2">
        <w:rPr>
          <w:rFonts w:asciiTheme="majorHAnsi" w:hAnsiTheme="majorHAnsi"/>
          <w:sz w:val="24"/>
          <w:szCs w:val="24"/>
        </w:rPr>
        <w:t xml:space="preserve"> 236,0 млн. При этом одновременно вырос экспорт в Соединенное Королевство в 4,3 раза до </w:t>
      </w:r>
      <w:r w:rsidRPr="00A05DC2">
        <w:rPr>
          <w:rFonts w:asciiTheme="majorHAnsi" w:hAnsiTheme="majorHAnsi"/>
          <w:sz w:val="24"/>
          <w:szCs w:val="24"/>
          <w:lang w:val="en-US"/>
        </w:rPr>
        <w:t>USD</w:t>
      </w:r>
      <w:r w:rsidRPr="00A05DC2">
        <w:rPr>
          <w:rFonts w:asciiTheme="majorHAnsi" w:hAnsiTheme="majorHAnsi"/>
          <w:sz w:val="24"/>
          <w:szCs w:val="24"/>
        </w:rPr>
        <w:t xml:space="preserve"> 634,4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и Италию </w:t>
      </w:r>
      <w:r w:rsidR="00FC6FCC">
        <w:rPr>
          <w:rFonts w:asciiTheme="majorHAnsi" w:hAnsiTheme="majorHAnsi"/>
          <w:sz w:val="24"/>
          <w:szCs w:val="24"/>
        </w:rPr>
        <w:t>–</w:t>
      </w:r>
      <w:r w:rsidRPr="00A05DC2">
        <w:rPr>
          <w:rFonts w:asciiTheme="majorHAnsi" w:hAnsiTheme="majorHAnsi"/>
          <w:sz w:val="24"/>
          <w:szCs w:val="24"/>
        </w:rPr>
        <w:t xml:space="preserve"> на</w:t>
      </w:r>
      <w:r w:rsidR="00FC6FCC">
        <w:rPr>
          <w:rFonts w:asciiTheme="majorHAnsi" w:hAnsiTheme="majorHAnsi"/>
          <w:sz w:val="24"/>
          <w:szCs w:val="24"/>
        </w:rPr>
        <w:t xml:space="preserve"> </w:t>
      </w:r>
      <w:r w:rsidRPr="00A05DC2">
        <w:rPr>
          <w:rFonts w:asciiTheme="majorHAnsi" w:hAnsiTheme="majorHAnsi"/>
          <w:sz w:val="24"/>
          <w:szCs w:val="24"/>
        </w:rPr>
        <w:t xml:space="preserve">21% до </w:t>
      </w:r>
      <w:r w:rsidRPr="00A05DC2">
        <w:rPr>
          <w:rFonts w:asciiTheme="majorHAnsi" w:hAnsiTheme="majorHAnsi"/>
          <w:sz w:val="24"/>
          <w:szCs w:val="24"/>
          <w:lang w:val="en-US"/>
        </w:rPr>
        <w:t>USD</w:t>
      </w:r>
      <w:r w:rsidRPr="00A05DC2">
        <w:rPr>
          <w:rFonts w:asciiTheme="majorHAnsi" w:hAnsiTheme="majorHAnsi"/>
          <w:sz w:val="24"/>
          <w:szCs w:val="24"/>
        </w:rPr>
        <w:t xml:space="preserve"> 204,9 млн. Выросли поставки в Россию на 25,4% или на </w:t>
      </w:r>
      <w:r w:rsidRPr="00A05DC2">
        <w:rPr>
          <w:rFonts w:asciiTheme="majorHAnsi" w:hAnsiTheme="majorHAnsi"/>
          <w:sz w:val="24"/>
          <w:szCs w:val="24"/>
          <w:lang w:val="en-US"/>
        </w:rPr>
        <w:t>USD</w:t>
      </w:r>
      <w:r w:rsidRPr="00A05DC2">
        <w:rPr>
          <w:rFonts w:asciiTheme="majorHAnsi" w:hAnsiTheme="majorHAnsi"/>
          <w:sz w:val="24"/>
          <w:szCs w:val="24"/>
        </w:rPr>
        <w:t xml:space="preserve"> 33,5 млн. Поставки в Россию осуществляются без уплаты экспортных пошлин, что снижает стоимостные объемы экспорта по данной группе, но одновременно не увеличивают объемы перечислений экспортных пошлин на нефтепродукты в бюджет России, в отличие от поставок нефтепродуктов за пределы стран ТС.</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Экспорт легковых автомобилей составил в январе-феврале 2014 года </w:t>
      </w:r>
      <w:r w:rsidRPr="00A05DC2">
        <w:rPr>
          <w:rFonts w:asciiTheme="majorHAnsi" w:hAnsiTheme="majorHAnsi"/>
          <w:sz w:val="24"/>
          <w:szCs w:val="24"/>
          <w:lang w:val="en-US"/>
        </w:rPr>
        <w:t>USD</w:t>
      </w:r>
      <w:r w:rsidRPr="00A05DC2">
        <w:rPr>
          <w:rFonts w:asciiTheme="majorHAnsi" w:hAnsiTheme="majorHAnsi"/>
          <w:sz w:val="24"/>
          <w:szCs w:val="24"/>
        </w:rPr>
        <w:t xml:space="preserve"> 24,0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что на </w:t>
      </w:r>
      <w:r w:rsidRPr="00A05DC2">
        <w:rPr>
          <w:rFonts w:asciiTheme="majorHAnsi" w:hAnsiTheme="majorHAnsi"/>
          <w:sz w:val="24"/>
          <w:szCs w:val="24"/>
          <w:lang w:val="en-US"/>
        </w:rPr>
        <w:t>USD</w:t>
      </w:r>
      <w:r w:rsidRPr="00A05DC2">
        <w:rPr>
          <w:rFonts w:asciiTheme="majorHAnsi" w:hAnsiTheme="majorHAnsi"/>
          <w:sz w:val="24"/>
          <w:szCs w:val="24"/>
        </w:rPr>
        <w:t xml:space="preserve"> 67,1 </w:t>
      </w:r>
      <w:proofErr w:type="spellStart"/>
      <w:r w:rsidRPr="00A05DC2">
        <w:rPr>
          <w:rFonts w:asciiTheme="majorHAnsi" w:hAnsiTheme="majorHAnsi"/>
          <w:sz w:val="24"/>
          <w:szCs w:val="24"/>
        </w:rPr>
        <w:t>млн</w:t>
      </w:r>
      <w:proofErr w:type="spellEnd"/>
      <w:r w:rsidR="00FC6FCC">
        <w:rPr>
          <w:rFonts w:asciiTheme="majorHAnsi" w:hAnsiTheme="majorHAnsi"/>
          <w:sz w:val="24"/>
          <w:szCs w:val="24"/>
        </w:rPr>
        <w:t>,</w:t>
      </w:r>
      <w:r w:rsidRPr="00A05DC2">
        <w:rPr>
          <w:rFonts w:asciiTheme="majorHAnsi" w:hAnsiTheme="majorHAnsi"/>
          <w:sz w:val="24"/>
          <w:szCs w:val="24"/>
        </w:rPr>
        <w:t xml:space="preserve"> или в 3,8 раза меньше, чем в январе-феврале 2013 года. Основное сокращение коснулось поставок легковых автомобилей в Россию, что может быть связано с введением утилизационного сбора с 1 января 2014 года в России и необходимостью уточнения механизма его уплаты. Экспорт в Казахстан вырос в 6 раз, до </w:t>
      </w:r>
      <w:r w:rsidRPr="00A05DC2">
        <w:rPr>
          <w:rFonts w:asciiTheme="majorHAnsi" w:hAnsiTheme="majorHAnsi"/>
          <w:sz w:val="24"/>
          <w:szCs w:val="24"/>
          <w:lang w:val="en-US"/>
        </w:rPr>
        <w:t>USD</w:t>
      </w:r>
      <w:r w:rsidRPr="00A05DC2">
        <w:rPr>
          <w:rFonts w:asciiTheme="majorHAnsi" w:hAnsiTheme="majorHAnsi"/>
          <w:sz w:val="24"/>
          <w:szCs w:val="24"/>
        </w:rPr>
        <w:t xml:space="preserve"> 7,2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что связано с поставками легковых автомобилей марки "</w:t>
      </w:r>
      <w:proofErr w:type="spellStart"/>
      <w:r w:rsidRPr="00A05DC2">
        <w:rPr>
          <w:rFonts w:asciiTheme="majorHAnsi" w:hAnsiTheme="majorHAnsi"/>
          <w:sz w:val="24"/>
          <w:szCs w:val="24"/>
          <w:lang w:val="en-US"/>
        </w:rPr>
        <w:t>Geely</w:t>
      </w:r>
      <w:proofErr w:type="spellEnd"/>
      <w:r w:rsidRPr="00A05DC2">
        <w:rPr>
          <w:rFonts w:asciiTheme="majorHAnsi" w:hAnsiTheme="majorHAnsi"/>
          <w:sz w:val="24"/>
          <w:szCs w:val="24"/>
        </w:rPr>
        <w:t>" белорусской сборки.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Объемы поставок тракторов в январе-феврале 2014 года составили </w:t>
      </w:r>
      <w:r w:rsidRPr="00A05DC2">
        <w:rPr>
          <w:rFonts w:asciiTheme="majorHAnsi" w:hAnsiTheme="majorHAnsi"/>
          <w:sz w:val="24"/>
          <w:szCs w:val="24"/>
          <w:lang w:val="en-US"/>
        </w:rPr>
        <w:t>USD</w:t>
      </w:r>
      <w:r w:rsidRPr="00A05DC2">
        <w:rPr>
          <w:rFonts w:asciiTheme="majorHAnsi" w:hAnsiTheme="majorHAnsi"/>
          <w:sz w:val="24"/>
          <w:szCs w:val="24"/>
        </w:rPr>
        <w:t xml:space="preserve"> 148,4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и снизились на </w:t>
      </w:r>
      <w:r w:rsidRPr="00A05DC2">
        <w:rPr>
          <w:rFonts w:asciiTheme="majorHAnsi" w:hAnsiTheme="majorHAnsi"/>
          <w:sz w:val="24"/>
          <w:szCs w:val="24"/>
          <w:lang w:val="en-US"/>
        </w:rPr>
        <w:t>USD</w:t>
      </w:r>
      <w:r w:rsidRPr="00A05DC2">
        <w:rPr>
          <w:rFonts w:asciiTheme="majorHAnsi" w:hAnsiTheme="majorHAnsi"/>
          <w:sz w:val="24"/>
          <w:szCs w:val="24"/>
        </w:rPr>
        <w:t xml:space="preserve"> 14,6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январю-февралю 2013 года. Основной объем снижения экспорта связан с уменьшением поставок в Россию. Наблюдается сокращение отставания от стоимостных показателей экспорта 2013 года. Начали осуществляться поставки в Египет. За 2 месяца тракторов в данную страну было поставлено 328 единиц на </w:t>
      </w:r>
      <w:r w:rsidRPr="00A05DC2">
        <w:rPr>
          <w:rFonts w:asciiTheme="majorHAnsi" w:hAnsiTheme="majorHAnsi"/>
          <w:sz w:val="24"/>
          <w:szCs w:val="24"/>
          <w:lang w:val="en-US"/>
        </w:rPr>
        <w:t>USD</w:t>
      </w:r>
      <w:r w:rsidRPr="00A05DC2">
        <w:rPr>
          <w:rFonts w:asciiTheme="majorHAnsi" w:hAnsiTheme="majorHAnsi"/>
          <w:sz w:val="24"/>
          <w:szCs w:val="24"/>
        </w:rPr>
        <w:t xml:space="preserve"> 4,5 млн. Увеличились поставки в Пакистан Польшу. Не осуществлялись в 2014 году поставки данной продукции в Китай. Стоит отметить значительной улучшение в январе-феврале 2014 года поставок тракторов в Украину, которая стала вторым по объемам покупателем после России. Экспорт в Украину вырос на 20,8 % и составил </w:t>
      </w:r>
      <w:r w:rsidRPr="00A05DC2">
        <w:rPr>
          <w:rFonts w:asciiTheme="majorHAnsi" w:hAnsiTheme="majorHAnsi"/>
          <w:sz w:val="24"/>
          <w:szCs w:val="24"/>
          <w:lang w:val="en-US"/>
        </w:rPr>
        <w:t>USD</w:t>
      </w:r>
      <w:r w:rsidRPr="00A05DC2">
        <w:rPr>
          <w:rFonts w:asciiTheme="majorHAnsi" w:hAnsiTheme="majorHAnsi"/>
          <w:sz w:val="24"/>
          <w:szCs w:val="24"/>
        </w:rPr>
        <w:t xml:space="preserve"> 19,4 млн.</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Продажи шин на внешних рынках в 2014 году по итогам января-февраля 2014 года упали более чем в 2 раза. Экспорт шин составил </w:t>
      </w:r>
      <w:r w:rsidRPr="00A05DC2">
        <w:rPr>
          <w:rFonts w:asciiTheme="majorHAnsi" w:hAnsiTheme="majorHAnsi"/>
          <w:sz w:val="24"/>
          <w:szCs w:val="24"/>
          <w:lang w:val="en-US"/>
        </w:rPr>
        <w:t>USD</w:t>
      </w:r>
      <w:r w:rsidRPr="00A05DC2">
        <w:rPr>
          <w:rFonts w:asciiTheme="majorHAnsi" w:hAnsiTheme="majorHAnsi"/>
          <w:sz w:val="24"/>
          <w:szCs w:val="24"/>
        </w:rPr>
        <w:t xml:space="preserve"> 48,1 млн. В </w:t>
      </w:r>
      <w:proofErr w:type="gramStart"/>
      <w:r w:rsidRPr="00A05DC2">
        <w:rPr>
          <w:rFonts w:asciiTheme="majorHAnsi" w:hAnsiTheme="majorHAnsi"/>
          <w:sz w:val="24"/>
          <w:szCs w:val="24"/>
        </w:rPr>
        <w:t>январе-феврале</w:t>
      </w:r>
      <w:proofErr w:type="gramEnd"/>
      <w:r w:rsidRPr="00A05DC2">
        <w:rPr>
          <w:rFonts w:asciiTheme="majorHAnsi" w:hAnsiTheme="majorHAnsi"/>
          <w:sz w:val="24"/>
          <w:szCs w:val="24"/>
        </w:rPr>
        <w:t xml:space="preserve"> 2013 года экспорт продукции составлял </w:t>
      </w:r>
      <w:r w:rsidRPr="00A05DC2">
        <w:rPr>
          <w:rFonts w:asciiTheme="majorHAnsi" w:hAnsiTheme="majorHAnsi"/>
          <w:sz w:val="24"/>
          <w:szCs w:val="24"/>
          <w:lang w:val="en-US"/>
        </w:rPr>
        <w:t>USD</w:t>
      </w:r>
      <w:r w:rsidRPr="00A05DC2">
        <w:rPr>
          <w:rFonts w:asciiTheme="majorHAnsi" w:hAnsiTheme="majorHAnsi"/>
          <w:sz w:val="24"/>
          <w:szCs w:val="24"/>
        </w:rPr>
        <w:t xml:space="preserve"> 96,7 млн. Наибольшее падение экспорта в абсолютном выражении отмечено на российском рынке. Продажи снизились на </w:t>
      </w:r>
      <w:r w:rsidRPr="00A05DC2">
        <w:rPr>
          <w:rFonts w:asciiTheme="majorHAnsi" w:hAnsiTheme="majorHAnsi"/>
          <w:sz w:val="24"/>
          <w:szCs w:val="24"/>
          <w:lang w:val="en-US"/>
        </w:rPr>
        <w:t>USD</w:t>
      </w:r>
      <w:r w:rsidRPr="00A05DC2">
        <w:rPr>
          <w:rFonts w:asciiTheme="majorHAnsi" w:hAnsiTheme="majorHAnsi"/>
          <w:sz w:val="24"/>
          <w:szCs w:val="24"/>
        </w:rPr>
        <w:t xml:space="preserve"> 28,0 млн. В 2014 году не осуществляются поставки продукции в Австралию, Марокко, поставки в Украину упали в 2 раза.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Падение экспорта калийных удобрений на </w:t>
      </w:r>
      <w:r w:rsidRPr="00A05DC2">
        <w:rPr>
          <w:rFonts w:asciiTheme="majorHAnsi" w:hAnsiTheme="majorHAnsi"/>
          <w:sz w:val="24"/>
          <w:szCs w:val="24"/>
          <w:lang w:val="en-US"/>
        </w:rPr>
        <w:t>USD</w:t>
      </w:r>
      <w:r w:rsidRPr="00A05DC2">
        <w:rPr>
          <w:rFonts w:asciiTheme="majorHAnsi" w:hAnsiTheme="majorHAnsi"/>
          <w:sz w:val="24"/>
          <w:szCs w:val="24"/>
        </w:rPr>
        <w:t xml:space="preserve"> 40,6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к аналогичному периоду 2013 года связано со снижением цен на продукцию и значительным объемом экспорта в феврале 2013 года, что создало высокую сравнительную базу.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2014 года</w:t>
      </w:r>
      <w:r w:rsidR="00FC6FCC">
        <w:rPr>
          <w:rFonts w:asciiTheme="majorHAnsi" w:hAnsiTheme="majorHAnsi"/>
          <w:sz w:val="24"/>
          <w:szCs w:val="24"/>
        </w:rPr>
        <w:t>,</w:t>
      </w:r>
      <w:r w:rsidRPr="00A05DC2">
        <w:rPr>
          <w:rFonts w:asciiTheme="majorHAnsi" w:hAnsiTheme="majorHAnsi"/>
          <w:sz w:val="24"/>
          <w:szCs w:val="24"/>
        </w:rPr>
        <w:t xml:space="preserve"> по предварительной информации</w:t>
      </w:r>
      <w:r w:rsidR="00FC6FCC">
        <w:rPr>
          <w:rFonts w:asciiTheme="majorHAnsi" w:hAnsiTheme="majorHAnsi"/>
          <w:sz w:val="24"/>
          <w:szCs w:val="24"/>
        </w:rPr>
        <w:t>,</w:t>
      </w:r>
      <w:r w:rsidRPr="00A05DC2">
        <w:rPr>
          <w:rFonts w:asciiTheme="majorHAnsi" w:hAnsiTheme="majorHAnsi"/>
          <w:sz w:val="24"/>
          <w:szCs w:val="24"/>
        </w:rPr>
        <w:t xml:space="preserve"> был поставлен рекорд по объемам отгрузок на экспорт в помесячной динамике, что может скорректировать ситуацию с продажами калийных удобрений на экспорт по сравнению с 2013 годом. Стоит отметить, что по итогам января-февраля 2014 года продажи </w:t>
      </w:r>
      <w:r w:rsidRPr="00A05DC2">
        <w:rPr>
          <w:rFonts w:asciiTheme="majorHAnsi" w:hAnsiTheme="majorHAnsi"/>
          <w:sz w:val="24"/>
          <w:szCs w:val="24"/>
        </w:rPr>
        <w:lastRenderedPageBreak/>
        <w:t xml:space="preserve">калийных удобрений бывшими партнерами по </w:t>
      </w:r>
      <w:proofErr w:type="spellStart"/>
      <w:r w:rsidRPr="00A05DC2">
        <w:rPr>
          <w:rFonts w:asciiTheme="majorHAnsi" w:hAnsiTheme="majorHAnsi"/>
          <w:sz w:val="24"/>
          <w:szCs w:val="24"/>
        </w:rPr>
        <w:t>БКК-Уралкалием</w:t>
      </w:r>
      <w:proofErr w:type="spellEnd"/>
      <w:r w:rsidRPr="00A05DC2">
        <w:rPr>
          <w:rFonts w:asciiTheme="majorHAnsi" w:hAnsiTheme="majorHAnsi"/>
          <w:sz w:val="24"/>
          <w:szCs w:val="24"/>
        </w:rPr>
        <w:t xml:space="preserve"> и </w:t>
      </w:r>
      <w:proofErr w:type="spellStart"/>
      <w:r w:rsidRPr="00A05DC2">
        <w:rPr>
          <w:rFonts w:asciiTheme="majorHAnsi" w:hAnsiTheme="majorHAnsi"/>
          <w:sz w:val="24"/>
          <w:szCs w:val="24"/>
        </w:rPr>
        <w:t>Беларуськалием</w:t>
      </w:r>
      <w:proofErr w:type="spellEnd"/>
      <w:r w:rsidRPr="00A05DC2">
        <w:rPr>
          <w:rFonts w:asciiTheme="majorHAnsi" w:hAnsiTheme="majorHAnsi"/>
          <w:sz w:val="24"/>
          <w:szCs w:val="24"/>
        </w:rPr>
        <w:t xml:space="preserve"> практически сравнялись. </w:t>
      </w:r>
      <w:proofErr w:type="spellStart"/>
      <w:r w:rsidRPr="00A05DC2">
        <w:rPr>
          <w:rFonts w:asciiTheme="majorHAnsi" w:hAnsiTheme="majorHAnsi"/>
          <w:sz w:val="24"/>
          <w:szCs w:val="24"/>
        </w:rPr>
        <w:t>Уралкалий</w:t>
      </w:r>
      <w:proofErr w:type="spellEnd"/>
      <w:r w:rsidRPr="00A05DC2">
        <w:rPr>
          <w:rFonts w:asciiTheme="majorHAnsi" w:hAnsiTheme="majorHAnsi"/>
          <w:sz w:val="24"/>
          <w:szCs w:val="24"/>
        </w:rPr>
        <w:t xml:space="preserve"> продал продукции вне стран СНГ только на </w:t>
      </w:r>
      <w:r w:rsidRPr="00A05DC2">
        <w:rPr>
          <w:rFonts w:asciiTheme="majorHAnsi" w:hAnsiTheme="majorHAnsi"/>
          <w:sz w:val="24"/>
          <w:szCs w:val="24"/>
          <w:lang w:val="en-US"/>
        </w:rPr>
        <w:t>USD</w:t>
      </w:r>
      <w:r w:rsidRPr="00A05DC2">
        <w:rPr>
          <w:rFonts w:asciiTheme="majorHAnsi" w:hAnsiTheme="majorHAnsi"/>
          <w:sz w:val="24"/>
          <w:szCs w:val="24"/>
        </w:rPr>
        <w:t xml:space="preserve"> 8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больше, чем </w:t>
      </w:r>
      <w:proofErr w:type="spellStart"/>
      <w:r w:rsidRPr="00A05DC2">
        <w:rPr>
          <w:rFonts w:asciiTheme="majorHAnsi" w:hAnsiTheme="majorHAnsi"/>
          <w:sz w:val="24"/>
          <w:szCs w:val="24"/>
        </w:rPr>
        <w:t>Беларуськалий</w:t>
      </w:r>
      <w:proofErr w:type="spellEnd"/>
      <w:r w:rsidRPr="00A05DC2">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Поставки битумных смесей поставили рекорд по приросту экспорта в январе-феврале 2014 года. В </w:t>
      </w:r>
      <w:proofErr w:type="gramStart"/>
      <w:r w:rsidRPr="00A05DC2">
        <w:rPr>
          <w:rFonts w:asciiTheme="majorHAnsi" w:hAnsiTheme="majorHAnsi"/>
          <w:sz w:val="24"/>
          <w:szCs w:val="24"/>
        </w:rPr>
        <w:t>январе-феврале</w:t>
      </w:r>
      <w:proofErr w:type="gramEnd"/>
      <w:r w:rsidRPr="00A05DC2">
        <w:rPr>
          <w:rFonts w:asciiTheme="majorHAnsi" w:hAnsiTheme="majorHAnsi"/>
          <w:sz w:val="24"/>
          <w:szCs w:val="24"/>
        </w:rPr>
        <w:t xml:space="preserve"> 2013 года данной продукции было поставлено на экспорт на сумму </w:t>
      </w:r>
      <w:r w:rsidRPr="00A05DC2">
        <w:rPr>
          <w:rFonts w:asciiTheme="majorHAnsi" w:hAnsiTheme="majorHAnsi"/>
          <w:sz w:val="24"/>
          <w:szCs w:val="24"/>
          <w:lang w:val="en-US"/>
        </w:rPr>
        <w:t>USD</w:t>
      </w:r>
      <w:r w:rsidRPr="00A05DC2">
        <w:rPr>
          <w:rFonts w:asciiTheme="majorHAnsi" w:hAnsiTheme="majorHAnsi"/>
          <w:sz w:val="24"/>
          <w:szCs w:val="24"/>
        </w:rPr>
        <w:t xml:space="preserve"> 122,2 тыс., в январе-феврале 2014 года экспорт вырос в 509 раз и составил </w:t>
      </w:r>
      <w:r w:rsidRPr="00A05DC2">
        <w:rPr>
          <w:rFonts w:asciiTheme="majorHAnsi" w:hAnsiTheme="majorHAnsi"/>
          <w:sz w:val="24"/>
          <w:szCs w:val="24"/>
          <w:lang w:val="en-US"/>
        </w:rPr>
        <w:t>USD</w:t>
      </w:r>
      <w:r w:rsidRPr="00A05DC2">
        <w:rPr>
          <w:rFonts w:asciiTheme="majorHAnsi" w:hAnsiTheme="majorHAnsi"/>
          <w:sz w:val="24"/>
          <w:szCs w:val="24"/>
        </w:rPr>
        <w:t xml:space="preserve"> 62,2 млн. Основной объем поставок осуществляется в Соединенное Королевство. Поставки осуществляются одной из организаций в сфере оптовой торговли Витебской области.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Существенный прирост экспорта отмечен по станкам токарным с числовым программным управлением. В </w:t>
      </w:r>
      <w:proofErr w:type="gramStart"/>
      <w:r w:rsidRPr="00A05DC2">
        <w:rPr>
          <w:rFonts w:asciiTheme="majorHAnsi" w:hAnsiTheme="majorHAnsi"/>
          <w:sz w:val="24"/>
          <w:szCs w:val="24"/>
        </w:rPr>
        <w:t>январе-феврале</w:t>
      </w:r>
      <w:proofErr w:type="gramEnd"/>
      <w:r w:rsidRPr="00A05DC2">
        <w:rPr>
          <w:rFonts w:asciiTheme="majorHAnsi" w:hAnsiTheme="majorHAnsi"/>
          <w:sz w:val="24"/>
          <w:szCs w:val="24"/>
        </w:rPr>
        <w:t xml:space="preserve"> 2013 года в Россию была поставлена 1 единица данной продукции на </w:t>
      </w:r>
      <w:r w:rsidRPr="00A05DC2">
        <w:rPr>
          <w:rFonts w:asciiTheme="majorHAnsi" w:hAnsiTheme="majorHAnsi"/>
          <w:sz w:val="24"/>
          <w:szCs w:val="24"/>
          <w:lang w:val="en-US"/>
        </w:rPr>
        <w:t>USD</w:t>
      </w:r>
      <w:r w:rsidRPr="00A05DC2">
        <w:rPr>
          <w:rFonts w:asciiTheme="majorHAnsi" w:hAnsiTheme="majorHAnsi"/>
          <w:sz w:val="24"/>
          <w:szCs w:val="24"/>
        </w:rPr>
        <w:t xml:space="preserve"> 10,3 тыс., в январе-феврале 2014 года было поставлено 95 единиц данной продукции на </w:t>
      </w:r>
      <w:r w:rsidRPr="00A05DC2">
        <w:rPr>
          <w:rFonts w:asciiTheme="majorHAnsi" w:hAnsiTheme="majorHAnsi"/>
          <w:sz w:val="24"/>
          <w:szCs w:val="24"/>
          <w:lang w:val="en-US"/>
        </w:rPr>
        <w:t>USD</w:t>
      </w:r>
      <w:r w:rsidRPr="00A05DC2">
        <w:rPr>
          <w:rFonts w:asciiTheme="majorHAnsi" w:hAnsiTheme="majorHAnsi"/>
          <w:sz w:val="24"/>
          <w:szCs w:val="24"/>
        </w:rPr>
        <w:t xml:space="preserve"> 29,3 млн.</w:t>
      </w:r>
    </w:p>
    <w:p w:rsidR="00A05DC2" w:rsidRPr="00A05DC2" w:rsidRDefault="00A05DC2" w:rsidP="00C11730">
      <w:pPr>
        <w:tabs>
          <w:tab w:val="left" w:pos="10773"/>
        </w:tabs>
        <w:ind w:right="281"/>
        <w:jc w:val="both"/>
        <w:rPr>
          <w:rFonts w:asciiTheme="majorHAnsi" w:hAnsiTheme="majorHAnsi"/>
          <w:sz w:val="24"/>
          <w:szCs w:val="24"/>
        </w:rPr>
      </w:pPr>
      <w:proofErr w:type="gramStart"/>
      <w:r w:rsidRPr="00A05DC2">
        <w:rPr>
          <w:rFonts w:asciiTheme="majorHAnsi" w:hAnsiTheme="majorHAnsi"/>
          <w:sz w:val="24"/>
          <w:szCs w:val="24"/>
        </w:rPr>
        <w:t xml:space="preserve">Поставки молочной продукция по итогам января-февраля 2014 года увеличили прирост экспорта в стоимостном выражении на </w:t>
      </w:r>
      <w:r w:rsidRPr="00A05DC2">
        <w:rPr>
          <w:rFonts w:asciiTheme="majorHAnsi" w:hAnsiTheme="majorHAnsi"/>
          <w:sz w:val="24"/>
          <w:szCs w:val="24"/>
          <w:lang w:val="en-US"/>
        </w:rPr>
        <w:t>USD</w:t>
      </w:r>
      <w:r w:rsidRPr="00A05DC2">
        <w:rPr>
          <w:rFonts w:asciiTheme="majorHAnsi" w:hAnsiTheme="majorHAnsi"/>
          <w:sz w:val="24"/>
          <w:szCs w:val="24"/>
        </w:rPr>
        <w:t xml:space="preserve"> 36,8 млн. Объем поставок молока и молочных продуктов (коды ТН ВЭД 0401-0406) составил </w:t>
      </w:r>
      <w:r w:rsidRPr="00A05DC2">
        <w:rPr>
          <w:rFonts w:asciiTheme="majorHAnsi" w:hAnsiTheme="majorHAnsi"/>
          <w:sz w:val="24"/>
          <w:szCs w:val="24"/>
          <w:lang w:val="en-US"/>
        </w:rPr>
        <w:t>USD</w:t>
      </w:r>
      <w:r w:rsidRPr="00A05DC2">
        <w:rPr>
          <w:rFonts w:asciiTheme="majorHAnsi" w:hAnsiTheme="majorHAnsi"/>
          <w:sz w:val="24"/>
          <w:szCs w:val="24"/>
        </w:rPr>
        <w:t xml:space="preserve"> 359,0 млн. Стоит отметить, что поставки в физическом выражении относительно января-февраля 2013 года снизились, прирост стоимостных объемов экспорта связан с ростом цен на молочную продукцию.</w:t>
      </w:r>
      <w:proofErr w:type="gramEnd"/>
      <w:r w:rsidRPr="00A05DC2">
        <w:rPr>
          <w:rFonts w:asciiTheme="majorHAnsi" w:hAnsiTheme="majorHAnsi"/>
          <w:sz w:val="24"/>
          <w:szCs w:val="24"/>
        </w:rPr>
        <w:t xml:space="preserve"> Основной прирост экспорта в подгруппе обеспечили сыры, творог, молоко сухое. Поставки на экспорт сдерживаются несвоевременной установкой новых индикативных цен. На рынке происходит постепенное снижение цен, что требует более быстрого приведения цен в соответствие с рыночной конъюнктурой.</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Иные позиции со значительным (более </w:t>
      </w:r>
      <w:r w:rsidRPr="00A05DC2">
        <w:rPr>
          <w:rFonts w:asciiTheme="majorHAnsi" w:hAnsiTheme="majorHAnsi"/>
          <w:sz w:val="24"/>
          <w:szCs w:val="24"/>
          <w:lang w:val="en-US"/>
        </w:rPr>
        <w:t>USD</w:t>
      </w:r>
      <w:r w:rsidRPr="00A05DC2">
        <w:rPr>
          <w:rFonts w:asciiTheme="majorHAnsi" w:hAnsiTheme="majorHAnsi"/>
          <w:sz w:val="24"/>
          <w:szCs w:val="24"/>
        </w:rPr>
        <w:t xml:space="preserve"> 25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приростом экспорта к январю-февралю 2013 года отсутствуют.</w:t>
      </w:r>
    </w:p>
    <w:p w:rsidR="00A05DC2" w:rsidRPr="00FC6FCC" w:rsidRDefault="00A05DC2" w:rsidP="00C11730">
      <w:pPr>
        <w:tabs>
          <w:tab w:val="left" w:pos="10773"/>
        </w:tabs>
        <w:ind w:right="281"/>
        <w:jc w:val="both"/>
        <w:rPr>
          <w:rFonts w:asciiTheme="majorHAnsi" w:hAnsiTheme="majorHAnsi"/>
          <w:b/>
          <w:sz w:val="24"/>
          <w:szCs w:val="24"/>
        </w:rPr>
      </w:pPr>
      <w:r w:rsidRPr="00FC6FCC">
        <w:rPr>
          <w:rFonts w:asciiTheme="majorHAnsi" w:hAnsiTheme="majorHAnsi"/>
          <w:b/>
          <w:sz w:val="24"/>
          <w:szCs w:val="24"/>
        </w:rPr>
        <w:t>Импорт</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Основной причиной снижения импорта в январе-феврале 2014 года относительно января-февраля 2013 года стало снижение производственной и инвестиционной активности в промышленности.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Наибольшее снижение импорта отмечено по поставкам нефти. В январе-феврале 2014 года импорт нефти составил </w:t>
      </w:r>
      <w:r w:rsidRPr="00A05DC2">
        <w:rPr>
          <w:rFonts w:asciiTheme="majorHAnsi" w:hAnsiTheme="majorHAnsi"/>
          <w:sz w:val="24"/>
          <w:szCs w:val="24"/>
          <w:lang w:val="en-US"/>
        </w:rPr>
        <w:t>USD</w:t>
      </w:r>
      <w:r w:rsidRPr="00A05DC2">
        <w:rPr>
          <w:rFonts w:asciiTheme="majorHAnsi" w:hAnsiTheme="majorHAnsi"/>
          <w:sz w:val="24"/>
          <w:szCs w:val="24"/>
        </w:rPr>
        <w:t xml:space="preserve"> 1 387,8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что на </w:t>
      </w:r>
      <w:r w:rsidRPr="00A05DC2">
        <w:rPr>
          <w:rFonts w:asciiTheme="majorHAnsi" w:hAnsiTheme="majorHAnsi"/>
          <w:sz w:val="24"/>
          <w:szCs w:val="24"/>
          <w:lang w:val="en-US"/>
        </w:rPr>
        <w:t>USD</w:t>
      </w:r>
      <w:r w:rsidRPr="00A05DC2">
        <w:rPr>
          <w:rFonts w:asciiTheme="majorHAnsi" w:hAnsiTheme="majorHAnsi"/>
          <w:sz w:val="24"/>
          <w:szCs w:val="24"/>
        </w:rPr>
        <w:t xml:space="preserve"> 188,7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меньше, чем в январе-феврале 2013 года. При этом сокращение физических объемов поставок незначительно </w:t>
      </w:r>
      <w:r w:rsidR="00FC6FCC">
        <w:rPr>
          <w:rFonts w:asciiTheme="majorHAnsi" w:hAnsiTheme="majorHAnsi"/>
          <w:sz w:val="24"/>
          <w:szCs w:val="24"/>
        </w:rPr>
        <w:t>–</w:t>
      </w:r>
      <w:r w:rsidRPr="00A05DC2">
        <w:rPr>
          <w:rFonts w:asciiTheme="majorHAnsi" w:hAnsiTheme="majorHAnsi"/>
          <w:sz w:val="24"/>
          <w:szCs w:val="24"/>
        </w:rPr>
        <w:t xml:space="preserve"> нефти</w:t>
      </w:r>
      <w:r w:rsidR="00FC6FCC">
        <w:rPr>
          <w:rFonts w:asciiTheme="majorHAnsi" w:hAnsiTheme="majorHAnsi"/>
          <w:sz w:val="24"/>
          <w:szCs w:val="24"/>
        </w:rPr>
        <w:t xml:space="preserve"> </w:t>
      </w:r>
      <w:r w:rsidRPr="00A05DC2">
        <w:rPr>
          <w:rFonts w:asciiTheme="majorHAnsi" w:hAnsiTheme="majorHAnsi"/>
          <w:sz w:val="24"/>
          <w:szCs w:val="24"/>
        </w:rPr>
        <w:t xml:space="preserve">поставлено на 83,0 тыс. тонн или на 2,3% меньше, чем в аналогичном периоде 2013 года. Основной причиной стало снижение цен на нефть. В </w:t>
      </w:r>
      <w:proofErr w:type="gramStart"/>
      <w:r w:rsidRPr="00A05DC2">
        <w:rPr>
          <w:rFonts w:asciiTheme="majorHAnsi" w:hAnsiTheme="majorHAnsi"/>
          <w:sz w:val="24"/>
          <w:szCs w:val="24"/>
        </w:rPr>
        <w:t>январе-феврале</w:t>
      </w:r>
      <w:proofErr w:type="gramEnd"/>
      <w:r w:rsidRPr="00A05DC2">
        <w:rPr>
          <w:rFonts w:asciiTheme="majorHAnsi" w:hAnsiTheme="majorHAnsi"/>
          <w:sz w:val="24"/>
          <w:szCs w:val="24"/>
        </w:rPr>
        <w:t xml:space="preserve"> 2014 года средняя стоимость тонны нефти, импортируемой из России,</w:t>
      </w:r>
      <w:bookmarkStart w:id="1" w:name="_GoBack"/>
      <w:bookmarkEnd w:id="1"/>
      <w:r w:rsidRPr="00A05DC2">
        <w:rPr>
          <w:rFonts w:asciiTheme="majorHAnsi" w:hAnsiTheme="majorHAnsi"/>
          <w:sz w:val="24"/>
          <w:szCs w:val="24"/>
        </w:rPr>
        <w:t xml:space="preserve"> составила </w:t>
      </w:r>
      <w:r w:rsidRPr="00A05DC2">
        <w:rPr>
          <w:rFonts w:asciiTheme="majorHAnsi" w:hAnsiTheme="majorHAnsi"/>
          <w:sz w:val="24"/>
          <w:szCs w:val="24"/>
          <w:lang w:val="en-US"/>
        </w:rPr>
        <w:t>USD</w:t>
      </w:r>
      <w:r w:rsidR="00FC6FCC">
        <w:rPr>
          <w:rFonts w:asciiTheme="majorHAnsi" w:hAnsiTheme="majorHAnsi"/>
          <w:sz w:val="24"/>
          <w:szCs w:val="24"/>
        </w:rPr>
        <w:t xml:space="preserve"> 385,6</w:t>
      </w:r>
      <w:r w:rsidRPr="00A05DC2">
        <w:rPr>
          <w:rFonts w:asciiTheme="majorHAnsi" w:hAnsiTheme="majorHAnsi"/>
          <w:sz w:val="24"/>
          <w:szCs w:val="24"/>
        </w:rPr>
        <w:t>, в то время как в январе-феврале 2013 года</w:t>
      </w:r>
      <w:r w:rsidR="00FC6FCC">
        <w:rPr>
          <w:rFonts w:asciiTheme="majorHAnsi" w:hAnsiTheme="majorHAnsi"/>
          <w:sz w:val="24"/>
          <w:szCs w:val="24"/>
        </w:rPr>
        <w:t xml:space="preserve"> – </w:t>
      </w:r>
      <w:r w:rsidRPr="00A05DC2">
        <w:rPr>
          <w:rFonts w:asciiTheme="majorHAnsi" w:hAnsiTheme="majorHAnsi"/>
          <w:sz w:val="24"/>
          <w:szCs w:val="24"/>
          <w:lang w:val="en-US"/>
        </w:rPr>
        <w:t>USD</w:t>
      </w:r>
      <w:r w:rsidR="00FC6FCC">
        <w:rPr>
          <w:rFonts w:asciiTheme="majorHAnsi" w:hAnsiTheme="majorHAnsi"/>
          <w:sz w:val="24"/>
          <w:szCs w:val="24"/>
        </w:rPr>
        <w:t xml:space="preserve"> </w:t>
      </w:r>
      <w:r w:rsidRPr="00A05DC2">
        <w:rPr>
          <w:rFonts w:asciiTheme="majorHAnsi" w:hAnsiTheme="majorHAnsi"/>
          <w:sz w:val="24"/>
          <w:szCs w:val="24"/>
        </w:rPr>
        <w:t>428,2. В группе энергетических товаров отмечено падение импорта нефтепродуктов</w:t>
      </w:r>
      <w:r w:rsidR="00FC6FCC">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USD</w:t>
      </w:r>
      <w:r w:rsidRPr="00A05DC2">
        <w:rPr>
          <w:rFonts w:asciiTheme="majorHAnsi" w:hAnsiTheme="majorHAnsi"/>
          <w:sz w:val="24"/>
          <w:szCs w:val="24"/>
        </w:rPr>
        <w:t xml:space="preserve"> 15,1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электроэнергии импортировано на </w:t>
      </w:r>
      <w:r w:rsidRPr="00A05DC2">
        <w:rPr>
          <w:rFonts w:asciiTheme="majorHAnsi" w:hAnsiTheme="majorHAnsi"/>
          <w:sz w:val="24"/>
          <w:szCs w:val="24"/>
          <w:lang w:val="en-US"/>
        </w:rPr>
        <w:t>USD</w:t>
      </w:r>
      <w:r w:rsidRPr="00A05DC2">
        <w:rPr>
          <w:rFonts w:asciiTheme="majorHAnsi" w:hAnsiTheme="majorHAnsi"/>
          <w:sz w:val="24"/>
          <w:szCs w:val="24"/>
        </w:rPr>
        <w:t xml:space="preserve"> 20,1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меньше, поставки природного газа выросли на </w:t>
      </w:r>
      <w:r w:rsidRPr="00A05DC2">
        <w:rPr>
          <w:rFonts w:asciiTheme="majorHAnsi" w:hAnsiTheme="majorHAnsi"/>
          <w:sz w:val="24"/>
          <w:szCs w:val="24"/>
          <w:lang w:val="en-US"/>
        </w:rPr>
        <w:t>USD</w:t>
      </w:r>
      <w:r w:rsidRPr="00A05DC2">
        <w:rPr>
          <w:rFonts w:asciiTheme="majorHAnsi" w:hAnsiTheme="majorHAnsi"/>
          <w:sz w:val="24"/>
          <w:szCs w:val="24"/>
        </w:rPr>
        <w:t xml:space="preserve"> 10,6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по причине роста цены на природный газ с </w:t>
      </w:r>
      <w:r w:rsidRPr="00A05DC2">
        <w:rPr>
          <w:rFonts w:asciiTheme="majorHAnsi" w:hAnsiTheme="majorHAnsi"/>
          <w:sz w:val="24"/>
          <w:szCs w:val="24"/>
          <w:lang w:val="en-US"/>
        </w:rPr>
        <w:t>USD</w:t>
      </w:r>
      <w:r w:rsidRPr="00A05DC2">
        <w:rPr>
          <w:rFonts w:asciiTheme="majorHAnsi" w:hAnsiTheme="majorHAnsi"/>
          <w:sz w:val="24"/>
          <w:szCs w:val="24"/>
        </w:rPr>
        <w:t xml:space="preserve"> 164 до </w:t>
      </w:r>
      <w:r w:rsidRPr="00A05DC2">
        <w:rPr>
          <w:rFonts w:asciiTheme="majorHAnsi" w:hAnsiTheme="majorHAnsi"/>
          <w:sz w:val="24"/>
          <w:szCs w:val="24"/>
          <w:lang w:val="en-US"/>
        </w:rPr>
        <w:t>USD</w:t>
      </w:r>
      <w:r w:rsidRPr="00A05DC2">
        <w:rPr>
          <w:rFonts w:asciiTheme="majorHAnsi" w:hAnsiTheme="majorHAnsi"/>
          <w:sz w:val="24"/>
          <w:szCs w:val="24"/>
        </w:rPr>
        <w:t xml:space="preserve"> 169 за 1 000 м3</w:t>
      </w:r>
      <w:r w:rsidR="00FC6FCC">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Падение импорта черных металлов с </w:t>
      </w:r>
      <w:r w:rsidRPr="00A05DC2">
        <w:rPr>
          <w:rFonts w:asciiTheme="majorHAnsi" w:hAnsiTheme="majorHAnsi"/>
          <w:sz w:val="24"/>
          <w:szCs w:val="24"/>
          <w:lang w:val="en-US"/>
        </w:rPr>
        <w:t>USD</w:t>
      </w:r>
      <w:r w:rsidRPr="00A05DC2">
        <w:rPr>
          <w:rFonts w:asciiTheme="majorHAnsi" w:hAnsiTheme="majorHAnsi"/>
          <w:sz w:val="24"/>
          <w:szCs w:val="24"/>
        </w:rPr>
        <w:t xml:space="preserve"> 339,2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(январь-февраль 2013 года) до </w:t>
      </w:r>
      <w:r w:rsidRPr="00A05DC2">
        <w:rPr>
          <w:rFonts w:asciiTheme="majorHAnsi" w:hAnsiTheme="majorHAnsi"/>
          <w:sz w:val="24"/>
          <w:szCs w:val="24"/>
          <w:lang w:val="en-US"/>
        </w:rPr>
        <w:t>USD</w:t>
      </w:r>
      <w:r w:rsidRPr="00A05DC2">
        <w:rPr>
          <w:rFonts w:asciiTheme="majorHAnsi" w:hAnsiTheme="majorHAnsi"/>
          <w:sz w:val="24"/>
          <w:szCs w:val="24"/>
        </w:rPr>
        <w:t xml:space="preserve"> 217,6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(январь-февраль 2014 года) связано со снижением активности в машиностроении, которое является основным потребителем данной продукции. Основные поставщики черных металлов в Беларусь</w:t>
      </w:r>
      <w:r w:rsidR="00FC6FCC">
        <w:rPr>
          <w:rFonts w:asciiTheme="majorHAnsi" w:hAnsiTheme="majorHAnsi"/>
          <w:sz w:val="24"/>
          <w:szCs w:val="24"/>
        </w:rPr>
        <w:t xml:space="preserve"> – </w:t>
      </w:r>
      <w:r w:rsidRPr="00A05DC2">
        <w:rPr>
          <w:rFonts w:asciiTheme="majorHAnsi" w:hAnsiTheme="majorHAnsi"/>
          <w:sz w:val="24"/>
          <w:szCs w:val="24"/>
        </w:rPr>
        <w:t>Украина</w:t>
      </w:r>
      <w:r w:rsidR="00FC6FCC">
        <w:rPr>
          <w:rFonts w:asciiTheme="majorHAnsi" w:hAnsiTheme="majorHAnsi"/>
          <w:sz w:val="24"/>
          <w:szCs w:val="24"/>
        </w:rPr>
        <w:t xml:space="preserve"> </w:t>
      </w:r>
      <w:r w:rsidRPr="00A05DC2">
        <w:rPr>
          <w:rFonts w:asciiTheme="majorHAnsi" w:hAnsiTheme="majorHAnsi"/>
          <w:sz w:val="24"/>
          <w:szCs w:val="24"/>
        </w:rPr>
        <w:t xml:space="preserve">и Россия.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lastRenderedPageBreak/>
        <w:t xml:space="preserve">Наблюдается падение импорта оборудования, что связано с окончанием модернизации энергетической системы и снижением объема производства транспортных средств, для производства которых используются двигатели внутреннего сгорания. Импорт двигателей внутреннего сгорания снизился с </w:t>
      </w:r>
      <w:r w:rsidRPr="00A05DC2">
        <w:rPr>
          <w:rFonts w:asciiTheme="majorHAnsi" w:hAnsiTheme="majorHAnsi"/>
          <w:sz w:val="24"/>
          <w:szCs w:val="24"/>
          <w:lang w:val="en-US"/>
        </w:rPr>
        <w:t>USD</w:t>
      </w:r>
      <w:r w:rsidRPr="00A05DC2">
        <w:rPr>
          <w:rFonts w:asciiTheme="majorHAnsi" w:hAnsiTheme="majorHAnsi"/>
          <w:sz w:val="24"/>
          <w:szCs w:val="24"/>
        </w:rPr>
        <w:t xml:space="preserve"> 83,6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USD</w:t>
      </w:r>
      <w:r w:rsidRPr="00A05DC2">
        <w:rPr>
          <w:rFonts w:asciiTheme="majorHAnsi" w:hAnsiTheme="majorHAnsi"/>
          <w:sz w:val="24"/>
          <w:szCs w:val="24"/>
        </w:rPr>
        <w:t xml:space="preserve"> 46,1 </w:t>
      </w:r>
      <w:proofErr w:type="spellStart"/>
      <w:r w:rsidRPr="00A05DC2">
        <w:rPr>
          <w:rFonts w:asciiTheme="majorHAnsi" w:hAnsiTheme="majorHAnsi"/>
          <w:sz w:val="24"/>
          <w:szCs w:val="24"/>
        </w:rPr>
        <w:t>млн</w:t>
      </w:r>
      <w:proofErr w:type="spellEnd"/>
      <w:r w:rsidR="00FC6FCC">
        <w:rPr>
          <w:rFonts w:asciiTheme="majorHAnsi" w:hAnsiTheme="majorHAnsi"/>
          <w:sz w:val="24"/>
          <w:szCs w:val="24"/>
        </w:rPr>
        <w:t>,</w:t>
      </w:r>
      <w:r w:rsidRPr="00A05DC2">
        <w:rPr>
          <w:rFonts w:asciiTheme="majorHAnsi" w:hAnsiTheme="majorHAnsi"/>
          <w:sz w:val="24"/>
          <w:szCs w:val="24"/>
        </w:rPr>
        <w:t xml:space="preserve"> или в 1,8 раза. Уменьшились поставки из России, Соединенного Королевства и Соединенных Штатов. Модернизация энергосистемы в 2013 году привела к поставкам китайских генераторов водяного газа и прочих турбин мощностью более 40 </w:t>
      </w:r>
      <w:proofErr w:type="spellStart"/>
      <w:r w:rsidRPr="00A05DC2">
        <w:rPr>
          <w:rFonts w:asciiTheme="majorHAnsi" w:hAnsiTheme="majorHAnsi"/>
          <w:sz w:val="24"/>
          <w:szCs w:val="24"/>
        </w:rPr>
        <w:t>мвт</w:t>
      </w:r>
      <w:proofErr w:type="spellEnd"/>
      <w:r w:rsidRPr="00A05DC2">
        <w:rPr>
          <w:rFonts w:asciiTheme="majorHAnsi" w:hAnsiTheme="majorHAnsi"/>
          <w:sz w:val="24"/>
          <w:szCs w:val="24"/>
        </w:rPr>
        <w:t xml:space="preserve"> на сумму </w:t>
      </w:r>
      <w:r w:rsidRPr="00A05DC2">
        <w:rPr>
          <w:rFonts w:asciiTheme="majorHAnsi" w:hAnsiTheme="majorHAnsi"/>
          <w:sz w:val="24"/>
          <w:szCs w:val="24"/>
          <w:lang w:val="en-US"/>
        </w:rPr>
        <w:t>USD</w:t>
      </w:r>
      <w:r w:rsidRPr="00A05DC2">
        <w:rPr>
          <w:rFonts w:asciiTheme="majorHAnsi" w:hAnsiTheme="majorHAnsi"/>
          <w:sz w:val="24"/>
          <w:szCs w:val="24"/>
        </w:rPr>
        <w:t xml:space="preserve"> 40,0 млн. В 2014 году поставки данного оборудования не осуществлялись.</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После отмены льгот в рамках </w:t>
      </w:r>
      <w:r w:rsidR="00F81F73">
        <w:rPr>
          <w:rFonts w:asciiTheme="majorHAnsi" w:hAnsiTheme="majorHAnsi"/>
          <w:sz w:val="24"/>
          <w:szCs w:val="24"/>
        </w:rPr>
        <w:t>Д</w:t>
      </w:r>
      <w:r w:rsidRPr="00A05DC2">
        <w:rPr>
          <w:rFonts w:asciiTheme="majorHAnsi" w:hAnsiTheme="majorHAnsi"/>
          <w:sz w:val="24"/>
          <w:szCs w:val="24"/>
        </w:rPr>
        <w:t xml:space="preserve">екрета </w:t>
      </w:r>
      <w:r w:rsidR="00F81F73">
        <w:rPr>
          <w:rFonts w:asciiTheme="majorHAnsi" w:hAnsiTheme="majorHAnsi"/>
          <w:sz w:val="24"/>
          <w:szCs w:val="24"/>
        </w:rPr>
        <w:t>№</w:t>
      </w:r>
      <w:r w:rsidRPr="00A05DC2">
        <w:rPr>
          <w:rFonts w:asciiTheme="majorHAnsi" w:hAnsiTheme="majorHAnsi"/>
          <w:sz w:val="24"/>
          <w:szCs w:val="24"/>
        </w:rPr>
        <w:t xml:space="preserve">6 наблюдается резкое сокращение импорта грузовых автомобилей и седельных тягачей. Импорт грузовых автомобилей снизился с </w:t>
      </w:r>
      <w:r w:rsidRPr="00A05DC2">
        <w:rPr>
          <w:rFonts w:asciiTheme="majorHAnsi" w:hAnsiTheme="majorHAnsi"/>
          <w:sz w:val="24"/>
          <w:szCs w:val="24"/>
          <w:lang w:val="en-US"/>
        </w:rPr>
        <w:t>USD</w:t>
      </w:r>
      <w:r w:rsidRPr="00A05DC2">
        <w:rPr>
          <w:rFonts w:asciiTheme="majorHAnsi" w:hAnsiTheme="majorHAnsi"/>
          <w:sz w:val="24"/>
          <w:szCs w:val="24"/>
        </w:rPr>
        <w:t xml:space="preserve"> 55,6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USD</w:t>
      </w:r>
      <w:r w:rsidRPr="00A05DC2">
        <w:rPr>
          <w:rFonts w:asciiTheme="majorHAnsi" w:hAnsiTheme="majorHAnsi"/>
          <w:sz w:val="24"/>
          <w:szCs w:val="24"/>
        </w:rPr>
        <w:t xml:space="preserve"> 23,7 </w:t>
      </w:r>
      <w:proofErr w:type="spellStart"/>
      <w:r w:rsidRPr="00A05DC2">
        <w:rPr>
          <w:rFonts w:asciiTheme="majorHAnsi" w:hAnsiTheme="majorHAnsi"/>
          <w:sz w:val="24"/>
          <w:szCs w:val="24"/>
        </w:rPr>
        <w:t>млн</w:t>
      </w:r>
      <w:proofErr w:type="spellEnd"/>
      <w:r w:rsidR="00F81F73">
        <w:rPr>
          <w:rFonts w:asciiTheme="majorHAnsi" w:hAnsiTheme="majorHAnsi"/>
          <w:sz w:val="24"/>
          <w:szCs w:val="24"/>
        </w:rPr>
        <w:t>,</w:t>
      </w:r>
      <w:r w:rsidRPr="00A05DC2">
        <w:rPr>
          <w:rFonts w:asciiTheme="majorHAnsi" w:hAnsiTheme="majorHAnsi"/>
          <w:sz w:val="24"/>
          <w:szCs w:val="24"/>
        </w:rPr>
        <w:t xml:space="preserve"> или в 2,3 раза, поставки седельных тягачей уменьшились с </w:t>
      </w:r>
      <w:r w:rsidRPr="00A05DC2">
        <w:rPr>
          <w:rFonts w:asciiTheme="majorHAnsi" w:hAnsiTheme="majorHAnsi"/>
          <w:sz w:val="24"/>
          <w:szCs w:val="24"/>
          <w:lang w:val="en-US"/>
        </w:rPr>
        <w:t>USD</w:t>
      </w:r>
      <w:r w:rsidRPr="00A05DC2">
        <w:rPr>
          <w:rFonts w:asciiTheme="majorHAnsi" w:hAnsiTheme="majorHAnsi"/>
          <w:sz w:val="24"/>
          <w:szCs w:val="24"/>
        </w:rPr>
        <w:t xml:space="preserve"> 22,7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до </w:t>
      </w:r>
      <w:r w:rsidRPr="00A05DC2">
        <w:rPr>
          <w:rFonts w:asciiTheme="majorHAnsi" w:hAnsiTheme="majorHAnsi"/>
          <w:sz w:val="24"/>
          <w:szCs w:val="24"/>
          <w:lang w:val="en-US"/>
        </w:rPr>
        <w:t>USD</w:t>
      </w:r>
      <w:r w:rsidRPr="00A05DC2">
        <w:rPr>
          <w:rFonts w:asciiTheme="majorHAnsi" w:hAnsiTheme="majorHAnsi"/>
          <w:sz w:val="24"/>
          <w:szCs w:val="24"/>
        </w:rPr>
        <w:t xml:space="preserve"> 14,6 </w:t>
      </w:r>
      <w:proofErr w:type="spellStart"/>
      <w:r w:rsidRPr="00A05DC2">
        <w:rPr>
          <w:rFonts w:asciiTheme="majorHAnsi" w:hAnsiTheme="majorHAnsi"/>
          <w:sz w:val="24"/>
          <w:szCs w:val="24"/>
        </w:rPr>
        <w:t>млн</w:t>
      </w:r>
      <w:proofErr w:type="spellEnd"/>
      <w:r w:rsidR="00F81F73">
        <w:rPr>
          <w:rFonts w:asciiTheme="majorHAnsi" w:hAnsiTheme="majorHAnsi"/>
          <w:sz w:val="24"/>
          <w:szCs w:val="24"/>
        </w:rPr>
        <w:t>,</w:t>
      </w:r>
      <w:r w:rsidRPr="00A05DC2">
        <w:rPr>
          <w:rFonts w:asciiTheme="majorHAnsi" w:hAnsiTheme="majorHAnsi"/>
          <w:sz w:val="24"/>
          <w:szCs w:val="24"/>
        </w:rPr>
        <w:t xml:space="preserve"> или на 42,1%</w:t>
      </w:r>
      <w:r w:rsidR="00F81F73">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Наибольший прирост импорта отмечен по лекарственным средствам, расфасованным для розничной продажи. Поставки выросли с </w:t>
      </w:r>
      <w:r w:rsidRPr="00A05DC2">
        <w:rPr>
          <w:rFonts w:asciiTheme="majorHAnsi" w:hAnsiTheme="majorHAnsi"/>
          <w:sz w:val="24"/>
          <w:szCs w:val="24"/>
          <w:lang w:val="en-US"/>
        </w:rPr>
        <w:t>USD</w:t>
      </w:r>
      <w:r w:rsidRPr="00A05DC2">
        <w:rPr>
          <w:rFonts w:asciiTheme="majorHAnsi" w:hAnsiTheme="majorHAnsi"/>
          <w:sz w:val="24"/>
          <w:szCs w:val="24"/>
        </w:rPr>
        <w:t xml:space="preserve"> 72,2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USD</w:t>
      </w:r>
      <w:r w:rsidRPr="00A05DC2">
        <w:rPr>
          <w:rFonts w:asciiTheme="majorHAnsi" w:hAnsiTheme="majorHAnsi"/>
          <w:sz w:val="24"/>
          <w:szCs w:val="24"/>
        </w:rPr>
        <w:t xml:space="preserve"> 98,6</w:t>
      </w:r>
      <w:r w:rsidR="00F81F73">
        <w:rPr>
          <w:rFonts w:asciiTheme="majorHAnsi" w:hAnsiTheme="majorHAnsi"/>
          <w:sz w:val="24"/>
          <w:szCs w:val="24"/>
        </w:rPr>
        <w:t>,</w:t>
      </w:r>
      <w:r w:rsidRPr="00A05DC2">
        <w:rPr>
          <w:rFonts w:asciiTheme="majorHAnsi" w:hAnsiTheme="majorHAnsi"/>
          <w:sz w:val="24"/>
          <w:szCs w:val="24"/>
        </w:rPr>
        <w:t xml:space="preserve"> или в 1,4 раза. Основной прирост импорта по данной позиции был сформирован в январе и связан с отложенным спросом на лекарства. В </w:t>
      </w:r>
      <w:proofErr w:type="gramStart"/>
      <w:r w:rsidRPr="00A05DC2">
        <w:rPr>
          <w:rFonts w:asciiTheme="majorHAnsi" w:hAnsiTheme="majorHAnsi"/>
          <w:sz w:val="24"/>
          <w:szCs w:val="24"/>
        </w:rPr>
        <w:t>феврале</w:t>
      </w:r>
      <w:proofErr w:type="gramEnd"/>
      <w:r w:rsidRPr="00A05DC2">
        <w:rPr>
          <w:rFonts w:asciiTheme="majorHAnsi" w:hAnsiTheme="majorHAnsi"/>
          <w:sz w:val="24"/>
          <w:szCs w:val="24"/>
        </w:rPr>
        <w:t xml:space="preserve"> 2014 года поставки осуществлялись на уровне февраля 2013 года</w:t>
      </w:r>
      <w:r w:rsidR="00F81F73">
        <w:rPr>
          <w:rFonts w:asciiTheme="majorHAnsi" w:hAnsiTheme="majorHAnsi"/>
          <w:sz w:val="24"/>
          <w:szCs w:val="24"/>
        </w:rPr>
        <w:t>.</w:t>
      </w:r>
      <w:r w:rsidRPr="00A05DC2">
        <w:rPr>
          <w:rFonts w:asciiTheme="majorHAnsi" w:hAnsiTheme="majorHAnsi"/>
          <w:sz w:val="24"/>
          <w:szCs w:val="24"/>
        </w:rPr>
        <w:t xml:space="preserve"> </w:t>
      </w:r>
    </w:p>
    <w:p w:rsidR="00A05DC2" w:rsidRPr="00A05DC2" w:rsidRDefault="00A05DC2" w:rsidP="00C11730">
      <w:pPr>
        <w:tabs>
          <w:tab w:val="left" w:pos="10773"/>
        </w:tabs>
        <w:ind w:right="281"/>
        <w:jc w:val="both"/>
        <w:rPr>
          <w:rFonts w:asciiTheme="majorHAnsi" w:hAnsiTheme="majorHAnsi"/>
          <w:sz w:val="24"/>
          <w:szCs w:val="24"/>
        </w:rPr>
      </w:pPr>
      <w:r w:rsidRPr="00F81F73">
        <w:rPr>
          <w:rFonts w:asciiTheme="majorHAnsi" w:hAnsiTheme="majorHAnsi"/>
          <w:b/>
          <w:sz w:val="24"/>
          <w:szCs w:val="24"/>
        </w:rPr>
        <w:t xml:space="preserve">В </w:t>
      </w:r>
      <w:proofErr w:type="gramStart"/>
      <w:r w:rsidRPr="00F81F73">
        <w:rPr>
          <w:rFonts w:asciiTheme="majorHAnsi" w:hAnsiTheme="majorHAnsi"/>
          <w:b/>
          <w:sz w:val="24"/>
          <w:szCs w:val="24"/>
        </w:rPr>
        <w:t>марте</w:t>
      </w:r>
      <w:proofErr w:type="gramEnd"/>
      <w:r w:rsidRPr="00A05DC2">
        <w:rPr>
          <w:rFonts w:asciiTheme="majorHAnsi" w:hAnsiTheme="majorHAnsi"/>
          <w:sz w:val="24"/>
          <w:szCs w:val="24"/>
        </w:rPr>
        <w:t xml:space="preserve"> отмечен</w:t>
      </w:r>
      <w:r w:rsidR="00F81F73">
        <w:rPr>
          <w:rFonts w:asciiTheme="majorHAnsi" w:hAnsiTheme="majorHAnsi"/>
          <w:sz w:val="24"/>
          <w:szCs w:val="24"/>
        </w:rPr>
        <w:t>а</w:t>
      </w:r>
      <w:r w:rsidRPr="00A05DC2">
        <w:rPr>
          <w:rFonts w:asciiTheme="majorHAnsi" w:hAnsiTheme="majorHAnsi"/>
          <w:sz w:val="24"/>
          <w:szCs w:val="24"/>
        </w:rPr>
        <w:t xml:space="preserve"> дальнейшая активизация на внешних рынках.</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sz w:val="24"/>
          <w:szCs w:val="24"/>
        </w:rPr>
        <w:t xml:space="preserve">Экспорт составил </w:t>
      </w:r>
      <w:r w:rsidRPr="00A05DC2">
        <w:rPr>
          <w:rFonts w:asciiTheme="majorHAnsi" w:hAnsiTheme="majorHAnsi"/>
          <w:sz w:val="24"/>
          <w:szCs w:val="24"/>
          <w:lang w:val="en-US"/>
        </w:rPr>
        <w:t>USD</w:t>
      </w:r>
      <w:r w:rsidRPr="00A05DC2">
        <w:rPr>
          <w:rFonts w:asciiTheme="majorHAnsi" w:hAnsiTheme="majorHAnsi"/>
          <w:sz w:val="24"/>
          <w:szCs w:val="24"/>
        </w:rPr>
        <w:t xml:space="preserve"> 3 428,5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импорт</w:t>
      </w:r>
      <w:r w:rsidR="00F81F73">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USD</w:t>
      </w:r>
      <w:r w:rsidR="00F81F73">
        <w:rPr>
          <w:rFonts w:asciiTheme="majorHAnsi" w:hAnsiTheme="majorHAnsi"/>
          <w:sz w:val="24"/>
          <w:szCs w:val="24"/>
        </w:rPr>
        <w:t xml:space="preserve"> </w:t>
      </w:r>
      <w:r w:rsidRPr="00A05DC2">
        <w:rPr>
          <w:rFonts w:asciiTheme="majorHAnsi" w:hAnsiTheme="majorHAnsi"/>
          <w:sz w:val="24"/>
          <w:szCs w:val="24"/>
        </w:rPr>
        <w:t xml:space="preserve">3 384,0 млн. Впервые с июля 2012 года зафиксировано положительное сальдо внешней торговли товарами в помесячной динамике, которое составило </w:t>
      </w:r>
      <w:r w:rsidRPr="00A05DC2">
        <w:rPr>
          <w:rFonts w:asciiTheme="majorHAnsi" w:hAnsiTheme="majorHAnsi"/>
          <w:sz w:val="24"/>
          <w:szCs w:val="24"/>
          <w:lang w:val="en-US"/>
        </w:rPr>
        <w:t>USD</w:t>
      </w:r>
      <w:r w:rsidRPr="00A05DC2">
        <w:rPr>
          <w:rFonts w:asciiTheme="majorHAnsi" w:hAnsiTheme="majorHAnsi"/>
          <w:sz w:val="24"/>
          <w:szCs w:val="24"/>
        </w:rPr>
        <w:t xml:space="preserve"> 44,5 млн. Рост экспорт</w:t>
      </w:r>
      <w:r w:rsidR="00F81F73">
        <w:rPr>
          <w:rFonts w:asciiTheme="majorHAnsi" w:hAnsiTheme="majorHAnsi"/>
          <w:sz w:val="24"/>
          <w:szCs w:val="24"/>
        </w:rPr>
        <w:t>а</w:t>
      </w:r>
      <w:r w:rsidRPr="00A05DC2">
        <w:rPr>
          <w:rFonts w:asciiTheme="majorHAnsi" w:hAnsiTheme="majorHAnsi"/>
          <w:sz w:val="24"/>
          <w:szCs w:val="24"/>
        </w:rPr>
        <w:t xml:space="preserve"> связан с дальнейшим ростом поставок калийных удобрений (прирост к февралю </w:t>
      </w:r>
      <w:r w:rsidRPr="00A05DC2">
        <w:rPr>
          <w:rFonts w:asciiTheme="majorHAnsi" w:hAnsiTheme="majorHAnsi"/>
          <w:sz w:val="24"/>
          <w:szCs w:val="24"/>
          <w:lang w:val="en-US"/>
        </w:rPr>
        <w:t>USD</w:t>
      </w:r>
      <w:r w:rsidRPr="00A05DC2">
        <w:rPr>
          <w:rFonts w:asciiTheme="majorHAnsi" w:hAnsiTheme="majorHAnsi"/>
          <w:sz w:val="24"/>
          <w:szCs w:val="24"/>
        </w:rPr>
        <w:t xml:space="preserve"> 70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увеличились поставки продуктов питания.</w:t>
      </w:r>
    </w:p>
    <w:p w:rsidR="008A6662" w:rsidRPr="00A05DC2" w:rsidRDefault="008A6662" w:rsidP="00C11730">
      <w:pPr>
        <w:tabs>
          <w:tab w:val="left" w:pos="10773"/>
        </w:tabs>
        <w:ind w:right="281"/>
        <w:jc w:val="both"/>
        <w:rPr>
          <w:rFonts w:asciiTheme="majorHAnsi" w:hAnsiTheme="majorHAnsi"/>
          <w:sz w:val="24"/>
          <w:szCs w:val="24"/>
        </w:rPr>
      </w:pPr>
    </w:p>
    <w:p w:rsidR="001A21C4" w:rsidRPr="00A05DC2" w:rsidRDefault="001A21C4" w:rsidP="00C11730">
      <w:pPr>
        <w:tabs>
          <w:tab w:val="left" w:pos="10773"/>
        </w:tabs>
        <w:ind w:right="281"/>
        <w:jc w:val="both"/>
        <w:rPr>
          <w:rFonts w:asciiTheme="majorHAnsi" w:hAnsiTheme="majorHAnsi" w:cs="Calibri"/>
          <w:sz w:val="24"/>
          <w:szCs w:val="24"/>
        </w:rPr>
      </w:pPr>
      <w:bookmarkStart w:id="2" w:name="финансы"/>
      <w:r w:rsidRPr="00A05DC2">
        <w:rPr>
          <w:rFonts w:asciiTheme="majorHAnsi" w:hAnsiTheme="majorHAnsi" w:cs="Calibri"/>
          <w:sz w:val="24"/>
          <w:szCs w:val="24"/>
        </w:rPr>
        <w:br w:type="page"/>
      </w:r>
    </w:p>
    <w:p w:rsidR="004F1745" w:rsidRPr="00F81F73" w:rsidRDefault="00CF448B" w:rsidP="00C11730">
      <w:pPr>
        <w:tabs>
          <w:tab w:val="left" w:pos="10773"/>
        </w:tabs>
        <w:ind w:right="281"/>
        <w:jc w:val="center"/>
        <w:rPr>
          <w:rFonts w:asciiTheme="majorHAnsi" w:hAnsiTheme="majorHAnsi" w:cs="Calibri"/>
          <w:b/>
          <w:sz w:val="24"/>
          <w:szCs w:val="24"/>
        </w:rPr>
      </w:pPr>
      <w:r w:rsidRPr="00F81F73">
        <w:rPr>
          <w:rFonts w:asciiTheme="majorHAnsi" w:hAnsiTheme="majorHAnsi" w:cs="Calibri"/>
          <w:b/>
          <w:sz w:val="24"/>
          <w:szCs w:val="24"/>
        </w:rPr>
        <w:lastRenderedPageBreak/>
        <w:t>Ф</w:t>
      </w:r>
      <w:r w:rsidR="004F1745" w:rsidRPr="00F81F73">
        <w:rPr>
          <w:rFonts w:asciiTheme="majorHAnsi" w:hAnsiTheme="majorHAnsi" w:cs="Calibri"/>
          <w:b/>
          <w:sz w:val="24"/>
          <w:szCs w:val="24"/>
        </w:rPr>
        <w:t>ИНАНСЫ</w:t>
      </w:r>
    </w:p>
    <w:p w:rsidR="00A05DC2" w:rsidRPr="00B711CB" w:rsidRDefault="00A05DC2" w:rsidP="00C11730">
      <w:pPr>
        <w:pStyle w:val="a9"/>
        <w:numPr>
          <w:ilvl w:val="0"/>
          <w:numId w:val="23"/>
        </w:numPr>
        <w:tabs>
          <w:tab w:val="left" w:pos="10773"/>
        </w:tabs>
        <w:ind w:right="281"/>
        <w:jc w:val="both"/>
        <w:rPr>
          <w:rFonts w:asciiTheme="majorHAnsi" w:hAnsiTheme="majorHAnsi" w:cs="Calibri"/>
          <w:b/>
          <w:sz w:val="24"/>
          <w:szCs w:val="24"/>
        </w:rPr>
      </w:pPr>
      <w:r w:rsidRPr="00B711CB">
        <w:rPr>
          <w:rFonts w:asciiTheme="majorHAnsi" w:hAnsiTheme="majorHAnsi" w:cs="Calibri"/>
          <w:b/>
          <w:sz w:val="24"/>
          <w:szCs w:val="24"/>
        </w:rPr>
        <w:t>Денежно-кредитная политика</w:t>
      </w:r>
    </w:p>
    <w:p w:rsidR="00A05DC2" w:rsidRPr="00B711CB" w:rsidRDefault="00A05DC2" w:rsidP="00C11730">
      <w:pPr>
        <w:tabs>
          <w:tab w:val="left" w:pos="10490"/>
        </w:tabs>
        <w:ind w:right="281"/>
        <w:jc w:val="both"/>
        <w:rPr>
          <w:rFonts w:asciiTheme="majorHAnsi" w:hAnsiTheme="majorHAnsi"/>
          <w:sz w:val="24"/>
          <w:szCs w:val="24"/>
        </w:rPr>
      </w:pPr>
      <w:r w:rsidRPr="00B711CB">
        <w:rPr>
          <w:rFonts w:asciiTheme="majorHAnsi" w:hAnsiTheme="majorHAnsi"/>
          <w:sz w:val="24"/>
          <w:szCs w:val="24"/>
        </w:rPr>
        <w:t xml:space="preserve">Состояние валютного рынка в марте характеризовалось стабильным чистым спросом на иностранную валюту со стороны всех сегментов валютного рынка. Население с учетом приобретения валюты по безналичному расчету на чистой основе приобрело USD 87,2 </w:t>
      </w:r>
      <w:proofErr w:type="spellStart"/>
      <w:proofErr w:type="gramStart"/>
      <w:r w:rsidRPr="00B711CB">
        <w:rPr>
          <w:rFonts w:asciiTheme="majorHAnsi" w:hAnsiTheme="majorHAnsi"/>
          <w:sz w:val="24"/>
          <w:szCs w:val="24"/>
        </w:rPr>
        <w:t>млн</w:t>
      </w:r>
      <w:proofErr w:type="spellEnd"/>
      <w:proofErr w:type="gramEnd"/>
      <w:r w:rsidRPr="00B711CB">
        <w:rPr>
          <w:rFonts w:asciiTheme="majorHAnsi" w:hAnsiTheme="majorHAnsi"/>
          <w:sz w:val="24"/>
          <w:szCs w:val="24"/>
        </w:rPr>
        <w:t xml:space="preserve">, юридические лица-резиденты на чистой основе приобрели USD 60,1 млн. Ситуация с чистой покупкой иностранной валюты привела к дальнейшему сокращению размеров ЗВР. По состоянию на 1 апреля размер ЗВР составил USD 5 715,1 </w:t>
      </w:r>
      <w:proofErr w:type="spellStart"/>
      <w:proofErr w:type="gramStart"/>
      <w:r w:rsidRPr="00B711CB">
        <w:rPr>
          <w:rFonts w:asciiTheme="majorHAnsi" w:hAnsiTheme="majorHAnsi"/>
          <w:sz w:val="24"/>
          <w:szCs w:val="24"/>
        </w:rPr>
        <w:t>млн</w:t>
      </w:r>
      <w:proofErr w:type="spellEnd"/>
      <w:proofErr w:type="gramEnd"/>
      <w:r w:rsidRPr="00B711CB">
        <w:rPr>
          <w:rFonts w:asciiTheme="majorHAnsi" w:hAnsiTheme="majorHAnsi"/>
          <w:sz w:val="24"/>
          <w:szCs w:val="24"/>
        </w:rPr>
        <w:t xml:space="preserve">, что на USD 428,5 </w:t>
      </w:r>
      <w:proofErr w:type="spellStart"/>
      <w:r w:rsidRPr="00B711CB">
        <w:rPr>
          <w:rFonts w:asciiTheme="majorHAnsi" w:hAnsiTheme="majorHAnsi"/>
          <w:sz w:val="24"/>
          <w:szCs w:val="24"/>
        </w:rPr>
        <w:t>млн</w:t>
      </w:r>
      <w:proofErr w:type="spellEnd"/>
      <w:r w:rsidRPr="00B711CB">
        <w:rPr>
          <w:rFonts w:asciiTheme="majorHAnsi" w:hAnsiTheme="majorHAnsi"/>
          <w:sz w:val="24"/>
          <w:szCs w:val="24"/>
        </w:rPr>
        <w:t xml:space="preserve"> ниже по сравнению со значением данного показателя на 1 марта 2014 года. Негативным фактором стало снижение стоимости золота на международном рынке, что привело к переоценке стоимости золота в составе ЗВР в сторону понижения на USD 50,0 млн.</w:t>
      </w:r>
      <w:r w:rsidR="00B711CB" w:rsidRPr="00B711CB">
        <w:rPr>
          <w:rFonts w:asciiTheme="majorHAnsi" w:hAnsiTheme="majorHAnsi"/>
          <w:sz w:val="24"/>
          <w:szCs w:val="24"/>
        </w:rPr>
        <w:t xml:space="preserve"> Согласно данным </w:t>
      </w:r>
      <w:proofErr w:type="spellStart"/>
      <w:r w:rsidR="00B711CB" w:rsidRPr="00B711CB">
        <w:rPr>
          <w:rFonts w:asciiTheme="majorHAnsi" w:hAnsiTheme="majorHAnsi"/>
          <w:sz w:val="24"/>
          <w:szCs w:val="24"/>
        </w:rPr>
        <w:t>Нацбанка</w:t>
      </w:r>
      <w:proofErr w:type="spellEnd"/>
      <w:r w:rsidR="00B711CB" w:rsidRPr="00B711CB">
        <w:rPr>
          <w:rFonts w:asciiTheme="majorHAnsi" w:hAnsiTheme="majorHAnsi"/>
          <w:sz w:val="24"/>
          <w:szCs w:val="24"/>
        </w:rPr>
        <w:t xml:space="preserve">, по итогам апреля золотовалютные резервы Республики Беларусь в определении ССРД МВФ сократились на USD 238,1 </w:t>
      </w:r>
      <w:proofErr w:type="spellStart"/>
      <w:proofErr w:type="gramStart"/>
      <w:r w:rsidR="00B711CB" w:rsidRPr="00B711CB">
        <w:rPr>
          <w:rFonts w:asciiTheme="majorHAnsi" w:hAnsiTheme="majorHAnsi"/>
          <w:sz w:val="24"/>
          <w:szCs w:val="24"/>
        </w:rPr>
        <w:t>млн</w:t>
      </w:r>
      <w:proofErr w:type="spellEnd"/>
      <w:proofErr w:type="gramEnd"/>
      <w:r w:rsidR="00B711CB" w:rsidRPr="00B711CB">
        <w:rPr>
          <w:rFonts w:asciiTheme="majorHAnsi" w:hAnsiTheme="majorHAnsi"/>
          <w:sz w:val="24"/>
          <w:szCs w:val="24"/>
        </w:rPr>
        <w:t xml:space="preserve"> и, по предварительным данным, на 1 мая 2014 года составили USD 5 477,0 </w:t>
      </w:r>
      <w:proofErr w:type="spellStart"/>
      <w:r w:rsidR="00B711CB" w:rsidRPr="00B711CB">
        <w:rPr>
          <w:rFonts w:asciiTheme="majorHAnsi" w:hAnsiTheme="majorHAnsi"/>
          <w:sz w:val="24"/>
          <w:szCs w:val="24"/>
        </w:rPr>
        <w:t>млн</w:t>
      </w:r>
      <w:proofErr w:type="spellEnd"/>
      <w:r w:rsidR="00B711CB" w:rsidRPr="00B711CB">
        <w:rPr>
          <w:rFonts w:asciiTheme="majorHAnsi" w:hAnsiTheme="majorHAnsi"/>
          <w:sz w:val="24"/>
          <w:szCs w:val="24"/>
        </w:rPr>
        <w:t xml:space="preserve"> в эквиваленте.</w:t>
      </w:r>
      <w:r w:rsidR="00B711CB">
        <w:rPr>
          <w:rFonts w:asciiTheme="majorHAnsi" w:hAnsiTheme="majorHAnsi"/>
          <w:sz w:val="24"/>
          <w:szCs w:val="24"/>
        </w:rPr>
        <w:t xml:space="preserve"> </w:t>
      </w:r>
      <w:r w:rsidR="00B711CB" w:rsidRPr="00B711CB">
        <w:rPr>
          <w:rFonts w:asciiTheme="majorHAnsi" w:hAnsiTheme="majorHAnsi"/>
          <w:sz w:val="24"/>
          <w:szCs w:val="24"/>
        </w:rPr>
        <w:t>На снижение объема золотовалютных резервов оказало влияние погашение правительством и Национальным банком внешних и внутренних обязательств в иностранной валюте.</w:t>
      </w:r>
    </w:p>
    <w:p w:rsidR="00A05DC2" w:rsidRPr="00C11730"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Снижение размера ЗВР является одним из основных рисков, привлечение средств на международных рынках является неопределенным, увеличились риски для ряда российских банков, имеющих свои подразделения в Беларуси. В </w:t>
      </w:r>
      <w:proofErr w:type="gramStart"/>
      <w:r w:rsidRPr="00A05DC2">
        <w:rPr>
          <w:rFonts w:asciiTheme="majorHAnsi" w:hAnsiTheme="majorHAnsi" w:cs="Calibri"/>
          <w:sz w:val="24"/>
          <w:szCs w:val="24"/>
        </w:rPr>
        <w:t>случае</w:t>
      </w:r>
      <w:proofErr w:type="gramEnd"/>
      <w:r w:rsidRPr="00A05DC2">
        <w:rPr>
          <w:rFonts w:asciiTheme="majorHAnsi" w:hAnsiTheme="majorHAnsi" w:cs="Calibri"/>
          <w:sz w:val="24"/>
          <w:szCs w:val="24"/>
        </w:rPr>
        <w:t xml:space="preserve"> введения санкций, для них будет затруднено </w:t>
      </w:r>
      <w:r w:rsidR="00C11730">
        <w:rPr>
          <w:rFonts w:asciiTheme="majorHAnsi" w:hAnsiTheme="majorHAnsi" w:cs="Calibri"/>
          <w:sz w:val="24"/>
          <w:szCs w:val="24"/>
        </w:rPr>
        <w:t xml:space="preserve">и/или станет более дорогим </w:t>
      </w:r>
      <w:r w:rsidRPr="00A05DC2">
        <w:rPr>
          <w:rFonts w:asciiTheme="majorHAnsi" w:hAnsiTheme="majorHAnsi" w:cs="Calibri"/>
          <w:sz w:val="24"/>
          <w:szCs w:val="24"/>
        </w:rPr>
        <w:t xml:space="preserve">привлечение </w:t>
      </w:r>
      <w:r w:rsidR="00C11730" w:rsidRPr="00A05DC2">
        <w:rPr>
          <w:rFonts w:asciiTheme="majorHAnsi" w:hAnsiTheme="majorHAnsi" w:cs="Calibri"/>
          <w:sz w:val="24"/>
          <w:szCs w:val="24"/>
        </w:rPr>
        <w:t>внешн</w:t>
      </w:r>
      <w:r w:rsidR="00C11730">
        <w:rPr>
          <w:rFonts w:asciiTheme="majorHAnsi" w:hAnsiTheme="majorHAnsi" w:cs="Calibri"/>
          <w:sz w:val="24"/>
          <w:szCs w:val="24"/>
        </w:rPr>
        <w:t>их</w:t>
      </w:r>
      <w:r w:rsidR="00C11730" w:rsidRPr="00A05DC2">
        <w:rPr>
          <w:rFonts w:asciiTheme="majorHAnsi" w:hAnsiTheme="majorHAnsi" w:cs="Calibri"/>
          <w:sz w:val="24"/>
          <w:szCs w:val="24"/>
        </w:rPr>
        <w:t xml:space="preserve"> </w:t>
      </w:r>
      <w:r w:rsidRPr="00A05DC2">
        <w:rPr>
          <w:rFonts w:asciiTheme="majorHAnsi" w:hAnsiTheme="majorHAnsi" w:cs="Calibri"/>
          <w:sz w:val="24"/>
          <w:szCs w:val="24"/>
        </w:rPr>
        <w:t xml:space="preserve">кредитных линий, что может, в свою очередь, оказать влияние и на возможности предоставления ресурсов для белорусских подразделений. Из возможных новых заимствований стоит отметить ранее достигнутую договоренность о привлечении государственного кредита от России, предварительный размер которого озвучивался на уровне USD 450 </w:t>
      </w:r>
      <w:proofErr w:type="spellStart"/>
      <w:proofErr w:type="gramStart"/>
      <w:r w:rsidRPr="00A05DC2">
        <w:rPr>
          <w:rFonts w:asciiTheme="majorHAnsi" w:hAnsiTheme="majorHAnsi" w:cs="Calibri"/>
          <w:sz w:val="24"/>
          <w:szCs w:val="24"/>
        </w:rPr>
        <w:t>млн</w:t>
      </w:r>
      <w:proofErr w:type="spellEnd"/>
      <w:proofErr w:type="gramEnd"/>
      <w:r w:rsidRPr="00A05DC2">
        <w:rPr>
          <w:rFonts w:asciiTheme="majorHAnsi" w:hAnsiTheme="majorHAnsi" w:cs="Calibri"/>
          <w:sz w:val="24"/>
          <w:szCs w:val="24"/>
        </w:rPr>
        <w:t>, по ставке 4% годовых сроком на 10 лет. Постановлением №339 от 10 апреля 2014 года были закончены внутригосударственные процедуры, необходимые для получения данного кредита.</w:t>
      </w:r>
      <w:r w:rsidR="00C11730">
        <w:rPr>
          <w:rFonts w:asciiTheme="majorHAnsi" w:hAnsiTheme="majorHAnsi" w:cs="Calibri"/>
          <w:sz w:val="24"/>
          <w:szCs w:val="24"/>
        </w:rPr>
        <w:t xml:space="preserve"> А также анонсированное 9 мая получение кредита от России в размере </w:t>
      </w:r>
      <w:r w:rsidR="00C11730">
        <w:rPr>
          <w:rFonts w:asciiTheme="majorHAnsi" w:hAnsiTheme="majorHAnsi" w:cs="Calibri"/>
          <w:sz w:val="24"/>
          <w:szCs w:val="24"/>
          <w:lang w:val="en-US"/>
        </w:rPr>
        <w:t>USD</w:t>
      </w:r>
      <w:r w:rsidR="00C11730" w:rsidRPr="00C11730">
        <w:rPr>
          <w:rFonts w:asciiTheme="majorHAnsi" w:hAnsiTheme="majorHAnsi" w:cs="Calibri"/>
          <w:sz w:val="24"/>
          <w:szCs w:val="24"/>
        </w:rPr>
        <w:t xml:space="preserve"> </w:t>
      </w:r>
      <w:r w:rsidR="00C11730">
        <w:rPr>
          <w:rFonts w:asciiTheme="majorHAnsi" w:hAnsiTheme="majorHAnsi" w:cs="Calibri"/>
          <w:sz w:val="24"/>
          <w:szCs w:val="24"/>
        </w:rPr>
        <w:t xml:space="preserve">2 </w:t>
      </w:r>
      <w:proofErr w:type="spellStart"/>
      <w:proofErr w:type="gramStart"/>
      <w:r w:rsidR="00C11730">
        <w:rPr>
          <w:rFonts w:asciiTheme="majorHAnsi" w:hAnsiTheme="majorHAnsi" w:cs="Calibri"/>
          <w:sz w:val="24"/>
          <w:szCs w:val="24"/>
        </w:rPr>
        <w:t>млрд</w:t>
      </w:r>
      <w:proofErr w:type="spellEnd"/>
      <w:proofErr w:type="gramEnd"/>
      <w:r w:rsidR="00C11730">
        <w:rPr>
          <w:rFonts w:asciiTheme="majorHAnsi" w:hAnsiTheme="majorHAnsi" w:cs="Calibri"/>
          <w:sz w:val="24"/>
          <w:szCs w:val="24"/>
        </w:rPr>
        <w:t xml:space="preserve"> в мае (условия выделения кредита, процентная ставка и срок неизвестны).</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w:t>
      </w:r>
      <w:proofErr w:type="gramStart"/>
      <w:r w:rsidRPr="00A05DC2">
        <w:rPr>
          <w:rFonts w:asciiTheme="majorHAnsi" w:hAnsiTheme="majorHAnsi" w:cs="Calibri"/>
          <w:sz w:val="24"/>
          <w:szCs w:val="24"/>
        </w:rPr>
        <w:t>апреле</w:t>
      </w:r>
      <w:proofErr w:type="gramEnd"/>
      <w:r w:rsidRPr="00A05DC2">
        <w:rPr>
          <w:rFonts w:asciiTheme="majorHAnsi" w:hAnsiTheme="majorHAnsi" w:cs="Calibri"/>
          <w:sz w:val="24"/>
          <w:szCs w:val="24"/>
        </w:rPr>
        <w:t xml:space="preserve"> тенденция дальнейшего ослабления денежно-кредитной политики продолжилась. Были снижены ставки по постоянно доступным операциям поддержки ликвидности. С 16 апреля новый уровень ставок был зафиксирован на отметке в 28% годовых. Уровень ставок на межбанковском рынке кредитования в течение апреля находился в диапазоне 21,0-30,0% годовых. Для дальнейшего снижения ставок по кредитам для юридических лиц </w:t>
      </w:r>
      <w:proofErr w:type="spellStart"/>
      <w:r w:rsidR="00B711CB">
        <w:rPr>
          <w:rFonts w:asciiTheme="majorHAnsi" w:hAnsiTheme="majorHAnsi" w:cs="Calibri"/>
          <w:sz w:val="24"/>
          <w:szCs w:val="24"/>
        </w:rPr>
        <w:t>Нацбанк</w:t>
      </w:r>
      <w:proofErr w:type="spellEnd"/>
      <w:r w:rsidR="00B711CB">
        <w:rPr>
          <w:rFonts w:asciiTheme="majorHAnsi" w:hAnsiTheme="majorHAnsi" w:cs="Calibri"/>
          <w:sz w:val="24"/>
          <w:szCs w:val="24"/>
        </w:rPr>
        <w:t xml:space="preserve"> принял решение об</w:t>
      </w:r>
      <w:r w:rsidRPr="00A05DC2">
        <w:rPr>
          <w:rFonts w:asciiTheme="majorHAnsi" w:hAnsiTheme="majorHAnsi" w:cs="Calibri"/>
          <w:sz w:val="24"/>
          <w:szCs w:val="24"/>
        </w:rPr>
        <w:t xml:space="preserve"> ограничени</w:t>
      </w:r>
      <w:r w:rsidR="00B711CB">
        <w:rPr>
          <w:rFonts w:asciiTheme="majorHAnsi" w:hAnsiTheme="majorHAnsi" w:cs="Calibri"/>
          <w:sz w:val="24"/>
          <w:szCs w:val="24"/>
        </w:rPr>
        <w:t>и</w:t>
      </w:r>
      <w:r w:rsidRPr="00A05DC2">
        <w:rPr>
          <w:rFonts w:asciiTheme="majorHAnsi" w:hAnsiTheme="majorHAnsi" w:cs="Calibri"/>
          <w:sz w:val="24"/>
          <w:szCs w:val="24"/>
        </w:rPr>
        <w:t xml:space="preserve"> ставок по вновь выдаваемым кредитам для данной категории заемщиков на уровне, не превышающем ставки по данным заимствованиям в предыдущем месяце, за исключением льготных кредитов. </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С целью снижения рисков для физических лиц,</w:t>
      </w:r>
      <w:r w:rsidR="00BF0F47">
        <w:rPr>
          <w:rFonts w:asciiTheme="majorHAnsi" w:hAnsiTheme="majorHAnsi" w:cs="Calibri"/>
          <w:sz w:val="24"/>
          <w:szCs w:val="24"/>
        </w:rPr>
        <w:t xml:space="preserve"> а также снижения объемов потребительского импорта</w:t>
      </w:r>
      <w:r w:rsidRPr="00A05DC2">
        <w:rPr>
          <w:rFonts w:asciiTheme="majorHAnsi" w:hAnsiTheme="majorHAnsi" w:cs="Calibri"/>
          <w:sz w:val="24"/>
          <w:szCs w:val="24"/>
        </w:rPr>
        <w:t xml:space="preserve"> предоставлени</w:t>
      </w:r>
      <w:r w:rsidR="00BF0F47">
        <w:rPr>
          <w:rFonts w:asciiTheme="majorHAnsi" w:hAnsiTheme="majorHAnsi" w:cs="Calibri"/>
          <w:sz w:val="24"/>
          <w:szCs w:val="24"/>
        </w:rPr>
        <w:t>е</w:t>
      </w:r>
      <w:r w:rsidRPr="00A05DC2">
        <w:rPr>
          <w:rFonts w:asciiTheme="majorHAnsi" w:hAnsiTheme="majorHAnsi" w:cs="Calibri"/>
          <w:sz w:val="24"/>
          <w:szCs w:val="24"/>
        </w:rPr>
        <w:t xml:space="preserve"> </w:t>
      </w:r>
      <w:r w:rsidR="00BF0F47">
        <w:rPr>
          <w:rFonts w:asciiTheme="majorHAnsi" w:hAnsiTheme="majorHAnsi" w:cs="Calibri"/>
          <w:sz w:val="24"/>
          <w:szCs w:val="24"/>
        </w:rPr>
        <w:t>потребительского</w:t>
      </w:r>
      <w:r w:rsidRPr="00A05DC2">
        <w:rPr>
          <w:rFonts w:asciiTheme="majorHAnsi" w:hAnsiTheme="majorHAnsi" w:cs="Calibri"/>
          <w:sz w:val="24"/>
          <w:szCs w:val="24"/>
        </w:rPr>
        <w:t xml:space="preserve"> кредита осуществляется только при наличии документов, подтверждающих получение дохода. </w:t>
      </w:r>
      <w:proofErr w:type="gramStart"/>
      <w:r w:rsidRPr="00A05DC2">
        <w:rPr>
          <w:rFonts w:asciiTheme="majorHAnsi" w:hAnsiTheme="majorHAnsi" w:cs="Calibri"/>
          <w:sz w:val="24"/>
          <w:szCs w:val="24"/>
        </w:rPr>
        <w:t>К таким документам отнесены справка о размере заработной платы (денежного довольствия), справка о размере получаемой пенсии, справка о предоставлении государственной адресной социальной помощи, справка о размере ежемесячного денежного содержания, справка о доходах, исчисленных и удержанных суммах подоходного налога с физических лиц, иные документы, подтверждающие получение дохода.</w:t>
      </w:r>
      <w:proofErr w:type="gramEnd"/>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lastRenderedPageBreak/>
        <w:t xml:space="preserve">Ставка рефинансирования впервые с июня 2013 года снизилась на 1 п.п. и с 16 апреля составляет 22,5% </w:t>
      </w:r>
      <w:proofErr w:type="gramStart"/>
      <w:r w:rsidRPr="00A05DC2">
        <w:rPr>
          <w:rFonts w:asciiTheme="majorHAnsi" w:hAnsiTheme="majorHAnsi" w:cs="Calibri"/>
          <w:sz w:val="24"/>
          <w:szCs w:val="24"/>
        </w:rPr>
        <w:t>годовых</w:t>
      </w:r>
      <w:proofErr w:type="gramEnd"/>
      <w:r w:rsidRPr="00A05DC2">
        <w:rPr>
          <w:rFonts w:asciiTheme="majorHAnsi" w:hAnsiTheme="majorHAnsi" w:cs="Calibri"/>
          <w:sz w:val="24"/>
          <w:szCs w:val="24"/>
        </w:rPr>
        <w:t>. Целью данного решения является улучшение доступности кредитов для реального сектора экономики.</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Национальная валюта к корзине валют в апреле ослабла на 1,0%. </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Мы ожидаем плавное снижение ставок по операциям поддержки ликвидности, темпы снижения ставок по кредитам будут замедлены в связи с </w:t>
      </w:r>
      <w:r w:rsidR="00B711CB">
        <w:rPr>
          <w:rFonts w:asciiTheme="majorHAnsi" w:hAnsiTheme="majorHAnsi" w:cs="Calibri"/>
          <w:sz w:val="24"/>
          <w:szCs w:val="24"/>
        </w:rPr>
        <w:t>рисками в реальном секторе, а также в связи последствиями параллельного снижения ставок по депозитам.</w:t>
      </w:r>
      <w:r w:rsidRPr="00A05DC2">
        <w:rPr>
          <w:rFonts w:asciiTheme="majorHAnsi" w:hAnsiTheme="majorHAnsi" w:cs="Calibri"/>
          <w:sz w:val="24"/>
          <w:szCs w:val="24"/>
        </w:rPr>
        <w:t xml:space="preserve"> Курс национальной валюты к доллару США для удобства гостей страны на время проведения чемпионата мира по хоккею может удерживаться в пределах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10 000 с незначительными отклонениями при отсутствии существенных изменений доллара США к иным мировым валютам. Объемы кредитования экономики в национальной валюте будут увеличены, валютное кредитование будет незначительным.</w:t>
      </w:r>
    </w:p>
    <w:p w:rsidR="00A05DC2" w:rsidRPr="00B711CB" w:rsidRDefault="00A05DC2" w:rsidP="00C11730">
      <w:pPr>
        <w:pStyle w:val="a9"/>
        <w:numPr>
          <w:ilvl w:val="0"/>
          <w:numId w:val="23"/>
        </w:numPr>
        <w:tabs>
          <w:tab w:val="left" w:pos="10773"/>
        </w:tabs>
        <w:ind w:right="281"/>
        <w:jc w:val="both"/>
        <w:rPr>
          <w:rFonts w:asciiTheme="majorHAnsi" w:hAnsiTheme="majorHAnsi" w:cs="Calibri"/>
          <w:b/>
          <w:sz w:val="24"/>
          <w:szCs w:val="24"/>
        </w:rPr>
      </w:pPr>
      <w:r w:rsidRPr="00B711CB">
        <w:rPr>
          <w:rFonts w:asciiTheme="majorHAnsi" w:hAnsiTheme="majorHAnsi" w:cs="Calibri"/>
          <w:b/>
          <w:sz w:val="24"/>
          <w:szCs w:val="24"/>
        </w:rPr>
        <w:t>Вклады</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марте население снизило объем рублевых депозитов в банковской системе Беларуси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96,9 млрд. Объем срочных депозитов вырос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850,4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и составил на 1 апреля 2014 года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27 870,0 млрд. Денежные средства на счетах до востребования и приравненных к ним уменьшились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947,3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10 398,9 млрд.</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Объем валютных депозитов населения в марте 2014 года вырос на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55,0 </w:t>
      </w:r>
      <w:proofErr w:type="spellStart"/>
      <w:proofErr w:type="gramStart"/>
      <w:r w:rsidRPr="00A05DC2">
        <w:rPr>
          <w:rFonts w:asciiTheme="majorHAnsi" w:hAnsiTheme="majorHAnsi" w:cs="Calibri"/>
          <w:sz w:val="24"/>
          <w:szCs w:val="24"/>
        </w:rPr>
        <w:t>млн</w:t>
      </w:r>
      <w:proofErr w:type="spellEnd"/>
      <w:proofErr w:type="gramEnd"/>
      <w:r w:rsidRPr="00A05DC2">
        <w:rPr>
          <w:rFonts w:asciiTheme="majorHAnsi" w:hAnsiTheme="majorHAnsi" w:cs="Calibri"/>
          <w:sz w:val="24"/>
          <w:szCs w:val="24"/>
        </w:rPr>
        <w:t xml:space="preserve">, при этом объем средств на счетах до востребования вырос на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9,8 </w:t>
      </w:r>
      <w:proofErr w:type="spellStart"/>
      <w:r w:rsidRPr="00A05DC2">
        <w:rPr>
          <w:rFonts w:asciiTheme="majorHAnsi" w:hAnsiTheme="majorHAnsi" w:cs="Calibri"/>
          <w:sz w:val="24"/>
          <w:szCs w:val="24"/>
        </w:rPr>
        <w:t>млн</w:t>
      </w:r>
      <w:proofErr w:type="spellEnd"/>
      <w:r w:rsidRPr="00A05DC2">
        <w:rPr>
          <w:rFonts w:asciiTheme="majorHAnsi" w:hAnsiTheme="majorHAnsi" w:cs="Calibri"/>
          <w:sz w:val="24"/>
          <w:szCs w:val="24"/>
        </w:rPr>
        <w:t xml:space="preserve">, срочные депозиты увеличились на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45,2 млн. В марте ставки по большинству рублевых депозитов снизились от 4 до 10 п.п. Средние процентные ставки по вновь привлеченным депозитам населения снизились на 3,6 п.п. и составили 39,7% </w:t>
      </w:r>
      <w:proofErr w:type="gramStart"/>
      <w:r w:rsidRPr="00A05DC2">
        <w:rPr>
          <w:rFonts w:asciiTheme="majorHAnsi" w:hAnsiTheme="majorHAnsi" w:cs="Calibri"/>
          <w:sz w:val="24"/>
          <w:szCs w:val="24"/>
        </w:rPr>
        <w:t>годовых</w:t>
      </w:r>
      <w:proofErr w:type="gramEnd"/>
      <w:r w:rsidRPr="00A05DC2">
        <w:rPr>
          <w:rFonts w:asciiTheme="majorHAnsi" w:hAnsiTheme="majorHAnsi" w:cs="Calibri"/>
          <w:sz w:val="24"/>
          <w:szCs w:val="24"/>
        </w:rPr>
        <w:t xml:space="preserve">. В </w:t>
      </w:r>
      <w:proofErr w:type="gramStart"/>
      <w:r w:rsidRPr="00A05DC2">
        <w:rPr>
          <w:rFonts w:asciiTheme="majorHAnsi" w:hAnsiTheme="majorHAnsi" w:cs="Calibri"/>
          <w:sz w:val="24"/>
          <w:szCs w:val="24"/>
        </w:rPr>
        <w:t>апреле</w:t>
      </w:r>
      <w:proofErr w:type="gramEnd"/>
      <w:r w:rsidRPr="00A05DC2">
        <w:rPr>
          <w:rFonts w:asciiTheme="majorHAnsi" w:hAnsiTheme="majorHAnsi" w:cs="Calibri"/>
          <w:sz w:val="24"/>
          <w:szCs w:val="24"/>
        </w:rPr>
        <w:t xml:space="preserve"> тенденция снижения ставок продолжилась, доходность по большинству депозитов снизилась ниже уровня в 40% годовых.</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По состоянию на 15 апреля размещено государственных валютных облигаций для физических лиц четвертого, пятого и шестого выпусков на сумму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39,9 </w:t>
      </w:r>
      <w:proofErr w:type="spellStart"/>
      <w:proofErr w:type="gramStart"/>
      <w:r w:rsidRPr="00A05DC2">
        <w:rPr>
          <w:rFonts w:asciiTheme="majorHAnsi" w:hAnsiTheme="majorHAnsi" w:cs="Calibri"/>
          <w:sz w:val="24"/>
          <w:szCs w:val="24"/>
        </w:rPr>
        <w:t>млн</w:t>
      </w:r>
      <w:proofErr w:type="spellEnd"/>
      <w:proofErr w:type="gramEnd"/>
      <w:r w:rsidRPr="00A05DC2">
        <w:rPr>
          <w:rFonts w:asciiTheme="majorHAnsi" w:hAnsiTheme="majorHAnsi" w:cs="Calibri"/>
          <w:sz w:val="24"/>
          <w:szCs w:val="24"/>
        </w:rPr>
        <w:t xml:space="preserve">, что составляет 79,8% от общего объема эмиссии. Ставка по данным облигациям была установлена на уровне 7% </w:t>
      </w:r>
      <w:proofErr w:type="gramStart"/>
      <w:r w:rsidRPr="00A05DC2">
        <w:rPr>
          <w:rFonts w:asciiTheme="majorHAnsi" w:hAnsiTheme="majorHAnsi" w:cs="Calibri"/>
          <w:sz w:val="24"/>
          <w:szCs w:val="24"/>
        </w:rPr>
        <w:t>годовых</w:t>
      </w:r>
      <w:proofErr w:type="gramEnd"/>
      <w:r w:rsidRPr="00A05DC2">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Текущие ставки по депозитам для физических лиц в иностранной вал</w:t>
      </w:r>
      <w:r w:rsidR="00CC2885">
        <w:rPr>
          <w:rFonts w:asciiTheme="majorHAnsi" w:hAnsiTheme="majorHAnsi" w:cs="Calibri"/>
          <w:sz w:val="24"/>
          <w:szCs w:val="24"/>
        </w:rPr>
        <w:t>юте находятся на уровне 5,5-6,0</w:t>
      </w:r>
      <w:r w:rsidRPr="00A05DC2">
        <w:rPr>
          <w:rFonts w:asciiTheme="majorHAnsi" w:hAnsiTheme="majorHAnsi" w:cs="Calibri"/>
          <w:sz w:val="24"/>
          <w:szCs w:val="24"/>
        </w:rPr>
        <w:t>% годовых. Помимо депозитов физические лица имеют возможность разместить свободные средства в облигации банков по ставке 6,5-7,0% годовых. Облигации имеют большую доходность, не подлежат декларированию сумм и могут быть переданы третьему лицу.</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Юридические лица в марте увеличили объемы срочных рублевых депозитов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378,9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17 349,1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 xml:space="preserve">, объем денежных средств на расчетных счетах вырос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1 969,7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12 486,5 млрд. </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Ситуация со ставками по рублевым депозитам для юридических лиц характеризуется определенной договоренностью между банками по синхронному снижению ставок. За исключением 4 банков, остальные банки Беларуси понизили уровень ставок до уровня в 28% годовых и ниже. В </w:t>
      </w:r>
      <w:proofErr w:type="gramStart"/>
      <w:r w:rsidRPr="00A05DC2">
        <w:rPr>
          <w:rFonts w:asciiTheme="majorHAnsi" w:hAnsiTheme="majorHAnsi" w:cs="Calibri"/>
          <w:sz w:val="24"/>
          <w:szCs w:val="24"/>
        </w:rPr>
        <w:t>условиях</w:t>
      </w:r>
      <w:proofErr w:type="gramEnd"/>
      <w:r w:rsidRPr="00A05DC2">
        <w:rPr>
          <w:rFonts w:asciiTheme="majorHAnsi" w:hAnsiTheme="majorHAnsi" w:cs="Calibri"/>
          <w:sz w:val="24"/>
          <w:szCs w:val="24"/>
        </w:rPr>
        <w:t xml:space="preserve"> увеличения в</w:t>
      </w:r>
      <w:r w:rsidR="00CC2885">
        <w:rPr>
          <w:rFonts w:asciiTheme="majorHAnsi" w:hAnsiTheme="majorHAnsi" w:cs="Calibri"/>
          <w:sz w:val="24"/>
          <w:szCs w:val="24"/>
        </w:rPr>
        <w:t>алютных</w:t>
      </w:r>
      <w:r w:rsidRPr="00A05DC2">
        <w:rPr>
          <w:rFonts w:asciiTheme="majorHAnsi" w:hAnsiTheme="majorHAnsi" w:cs="Calibri"/>
          <w:sz w:val="24"/>
          <w:szCs w:val="24"/>
        </w:rPr>
        <w:t xml:space="preserve"> рисков данный уровень ставок является малопривлекательным для длительного размещения средств. Юридические лица могут направить свободные средства на осуществление текущей деятельности либо на создание необходимого объема запасов сырья и материалов. Банковская система в свою очередь не </w:t>
      </w:r>
      <w:r w:rsidRPr="00A05DC2">
        <w:rPr>
          <w:rFonts w:asciiTheme="majorHAnsi" w:hAnsiTheme="majorHAnsi" w:cs="Calibri"/>
          <w:sz w:val="24"/>
          <w:szCs w:val="24"/>
        </w:rPr>
        <w:lastRenderedPageBreak/>
        <w:t xml:space="preserve">располагает достаточным количеством надежных заемщиков для имеющегося объема ресурсов по таким ставкам. Почти половина кредитования экономики осуществляется по субсидированным ставкам, которые требуют источников финансирования из бюджета. Дальнейшее снижение ставок по депозитам может быть запрограммировано решением </w:t>
      </w:r>
      <w:proofErr w:type="spellStart"/>
      <w:r w:rsidRPr="00A05DC2">
        <w:rPr>
          <w:rFonts w:asciiTheme="majorHAnsi" w:hAnsiTheme="majorHAnsi" w:cs="Calibri"/>
          <w:sz w:val="24"/>
          <w:szCs w:val="24"/>
        </w:rPr>
        <w:t>Нацбанка</w:t>
      </w:r>
      <w:proofErr w:type="spellEnd"/>
      <w:r w:rsidRPr="00A05DC2">
        <w:rPr>
          <w:rFonts w:asciiTheme="majorHAnsi" w:hAnsiTheme="majorHAnsi" w:cs="Calibri"/>
          <w:sz w:val="24"/>
          <w:szCs w:val="24"/>
        </w:rPr>
        <w:t xml:space="preserve"> по ограничению ставок кредитов для юридических лиц на уровне, не превышающем среднюю ставку по новым кредитам, без учета льготного кредитования.</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На расчетных счетах юридических лиц объем валютных средств увеличился на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91,4 </w:t>
      </w:r>
      <w:proofErr w:type="spellStart"/>
      <w:proofErr w:type="gramStart"/>
      <w:r w:rsidRPr="00A05DC2">
        <w:rPr>
          <w:rFonts w:asciiTheme="majorHAnsi" w:hAnsiTheme="majorHAnsi" w:cs="Calibri"/>
          <w:sz w:val="24"/>
          <w:szCs w:val="24"/>
        </w:rPr>
        <w:t>млн</w:t>
      </w:r>
      <w:proofErr w:type="spellEnd"/>
      <w:proofErr w:type="gramEnd"/>
      <w:r w:rsidRPr="00A05DC2">
        <w:rPr>
          <w:rFonts w:asciiTheme="majorHAnsi" w:hAnsiTheme="majorHAnsi" w:cs="Calibri"/>
          <w:sz w:val="24"/>
          <w:szCs w:val="24"/>
        </w:rPr>
        <w:t xml:space="preserve">, срочные депозиты в валюте выросли на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128,6 млн. Определенный рост объемов реализации продукции на внешних рынках и положительное сальдо внешней торговли товарами и услугами в марте могло положительно повлиять на объемы валютных средств предприятий на счетах в банках.</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Для более полного привлечения свободных валютных средств юридических лиц был разработан новый механизм реализации государственных валютных облигаций. Продажа облигаций будет осуществляться посредством прямой реализации множественным покупателям через биржу. Устанавливается фиксированная доходность. Приобрести валютные облигации инвестор может в любой момент в течение периода продаж. Выпуск валютных </w:t>
      </w:r>
      <w:proofErr w:type="spellStart"/>
      <w:r w:rsidRPr="00A05DC2">
        <w:rPr>
          <w:rFonts w:asciiTheme="majorHAnsi" w:hAnsiTheme="majorHAnsi" w:cs="Calibri"/>
          <w:sz w:val="24"/>
          <w:szCs w:val="24"/>
        </w:rPr>
        <w:t>гособлигаций</w:t>
      </w:r>
      <w:proofErr w:type="spellEnd"/>
      <w:r w:rsidRPr="00A05DC2">
        <w:rPr>
          <w:rFonts w:asciiTheme="majorHAnsi" w:hAnsiTheme="majorHAnsi" w:cs="Calibri"/>
          <w:sz w:val="24"/>
          <w:szCs w:val="24"/>
        </w:rPr>
        <w:t xml:space="preserve"> №123 осуществлен в размере </w:t>
      </w:r>
      <w:r w:rsidRPr="00A05DC2">
        <w:rPr>
          <w:rFonts w:asciiTheme="majorHAnsi" w:hAnsiTheme="majorHAnsi" w:cs="Calibri"/>
          <w:sz w:val="24"/>
          <w:szCs w:val="24"/>
          <w:lang w:val="en-US"/>
        </w:rPr>
        <w:t>USD</w:t>
      </w:r>
      <w:r w:rsidR="00CC2885">
        <w:rPr>
          <w:rFonts w:asciiTheme="majorHAnsi" w:hAnsiTheme="majorHAnsi" w:cs="Calibri"/>
          <w:sz w:val="24"/>
          <w:szCs w:val="24"/>
        </w:rPr>
        <w:t xml:space="preserve"> 100 </w:t>
      </w:r>
      <w:proofErr w:type="spellStart"/>
      <w:proofErr w:type="gramStart"/>
      <w:r w:rsidR="00CC2885">
        <w:rPr>
          <w:rFonts w:asciiTheme="majorHAnsi" w:hAnsiTheme="majorHAnsi" w:cs="Calibri"/>
          <w:sz w:val="24"/>
          <w:szCs w:val="24"/>
        </w:rPr>
        <w:t>млн</w:t>
      </w:r>
      <w:proofErr w:type="spellEnd"/>
      <w:proofErr w:type="gramEnd"/>
      <w:r w:rsidR="00CC2885">
        <w:rPr>
          <w:rFonts w:asciiTheme="majorHAnsi" w:hAnsiTheme="majorHAnsi" w:cs="Calibri"/>
          <w:sz w:val="24"/>
          <w:szCs w:val="24"/>
        </w:rPr>
        <w:t xml:space="preserve">, срок обращения – </w:t>
      </w:r>
      <w:r w:rsidRPr="00A05DC2">
        <w:rPr>
          <w:rFonts w:asciiTheme="majorHAnsi" w:hAnsiTheme="majorHAnsi" w:cs="Calibri"/>
          <w:sz w:val="24"/>
          <w:szCs w:val="24"/>
        </w:rPr>
        <w:t>725 дней, ставка процентного дохода</w:t>
      </w:r>
      <w:r w:rsidR="00CC2885">
        <w:rPr>
          <w:rFonts w:asciiTheme="majorHAnsi" w:hAnsiTheme="majorHAnsi" w:cs="Calibri"/>
          <w:sz w:val="24"/>
          <w:szCs w:val="24"/>
        </w:rPr>
        <w:t xml:space="preserve"> – </w:t>
      </w:r>
      <w:r w:rsidRPr="00A05DC2">
        <w:rPr>
          <w:rFonts w:asciiTheme="majorHAnsi" w:hAnsiTheme="majorHAnsi" w:cs="Calibri"/>
          <w:sz w:val="24"/>
          <w:szCs w:val="24"/>
        </w:rPr>
        <w:t xml:space="preserve">7,0% годовых. Выпуск №124 осуществлен в размере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100 </w:t>
      </w:r>
      <w:proofErr w:type="spellStart"/>
      <w:proofErr w:type="gramStart"/>
      <w:r w:rsidRPr="00A05DC2">
        <w:rPr>
          <w:rFonts w:asciiTheme="majorHAnsi" w:hAnsiTheme="majorHAnsi" w:cs="Calibri"/>
          <w:sz w:val="24"/>
          <w:szCs w:val="24"/>
        </w:rPr>
        <w:t>млн</w:t>
      </w:r>
      <w:proofErr w:type="spellEnd"/>
      <w:proofErr w:type="gramEnd"/>
      <w:r w:rsidRPr="00A05DC2">
        <w:rPr>
          <w:rFonts w:asciiTheme="majorHAnsi" w:hAnsiTheme="majorHAnsi" w:cs="Calibri"/>
          <w:sz w:val="24"/>
          <w:szCs w:val="24"/>
        </w:rPr>
        <w:t xml:space="preserve">, срок обращения </w:t>
      </w:r>
      <w:r w:rsidR="00CC2885">
        <w:rPr>
          <w:rFonts w:asciiTheme="majorHAnsi" w:hAnsiTheme="majorHAnsi" w:cs="Calibri"/>
          <w:sz w:val="24"/>
          <w:szCs w:val="24"/>
        </w:rPr>
        <w:t xml:space="preserve">– </w:t>
      </w:r>
      <w:r w:rsidRPr="00A05DC2">
        <w:rPr>
          <w:rFonts w:asciiTheme="majorHAnsi" w:hAnsiTheme="majorHAnsi" w:cs="Calibri"/>
          <w:sz w:val="24"/>
          <w:szCs w:val="24"/>
        </w:rPr>
        <w:t>1</w:t>
      </w:r>
      <w:r w:rsidR="00CC2885">
        <w:rPr>
          <w:rFonts w:asciiTheme="majorHAnsi" w:hAnsiTheme="majorHAnsi" w:cs="Calibri"/>
          <w:sz w:val="24"/>
          <w:szCs w:val="24"/>
        </w:rPr>
        <w:t xml:space="preserve"> </w:t>
      </w:r>
      <w:r w:rsidRPr="00A05DC2">
        <w:rPr>
          <w:rFonts w:asciiTheme="majorHAnsi" w:hAnsiTheme="majorHAnsi" w:cs="Calibri"/>
          <w:sz w:val="24"/>
          <w:szCs w:val="24"/>
        </w:rPr>
        <w:t>822 дня, ставка процентного дохода</w:t>
      </w:r>
      <w:r w:rsidR="00CC2885">
        <w:rPr>
          <w:rFonts w:asciiTheme="majorHAnsi" w:hAnsiTheme="majorHAnsi" w:cs="Calibri"/>
          <w:sz w:val="24"/>
          <w:szCs w:val="24"/>
        </w:rPr>
        <w:t xml:space="preserve"> – </w:t>
      </w:r>
      <w:r w:rsidRPr="00A05DC2">
        <w:rPr>
          <w:rFonts w:asciiTheme="majorHAnsi" w:hAnsiTheme="majorHAnsi" w:cs="Calibri"/>
          <w:sz w:val="24"/>
          <w:szCs w:val="24"/>
        </w:rPr>
        <w:t xml:space="preserve">7,45% годовых. Номинал облигаций обоих выпусков составляет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10 000. За первый день (21 апреля 2014 г.), через ОАО "Белорусская валютно-фондовая биржа" реализовано облигаций 123 и 124 выпусков на общую сумму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33,2 </w:t>
      </w:r>
      <w:proofErr w:type="spellStart"/>
      <w:proofErr w:type="gramStart"/>
      <w:r w:rsidRPr="00A05DC2">
        <w:rPr>
          <w:rFonts w:asciiTheme="majorHAnsi" w:hAnsiTheme="majorHAnsi" w:cs="Calibri"/>
          <w:sz w:val="24"/>
          <w:szCs w:val="24"/>
        </w:rPr>
        <w:t>млн</w:t>
      </w:r>
      <w:proofErr w:type="spellEnd"/>
      <w:proofErr w:type="gramEnd"/>
      <w:r w:rsidRPr="00A05DC2">
        <w:rPr>
          <w:rFonts w:asciiTheme="majorHAnsi" w:hAnsiTheme="majorHAnsi" w:cs="Calibri"/>
          <w:sz w:val="24"/>
          <w:szCs w:val="24"/>
        </w:rPr>
        <w:t>: 123 выпуска –</w:t>
      </w:r>
      <w:r w:rsidR="00CC2885">
        <w:rPr>
          <w:rFonts w:asciiTheme="majorHAnsi" w:hAnsiTheme="majorHAnsi" w:cs="Calibri"/>
          <w:sz w:val="24"/>
          <w:szCs w:val="24"/>
        </w:rPr>
        <w:t xml:space="preserve">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29,0 </w:t>
      </w:r>
      <w:proofErr w:type="spellStart"/>
      <w:r w:rsidRPr="00A05DC2">
        <w:rPr>
          <w:rFonts w:asciiTheme="majorHAnsi" w:hAnsiTheme="majorHAnsi" w:cs="Calibri"/>
          <w:sz w:val="24"/>
          <w:szCs w:val="24"/>
        </w:rPr>
        <w:t>млн</w:t>
      </w:r>
      <w:proofErr w:type="spellEnd"/>
      <w:r w:rsidRPr="00A05DC2">
        <w:rPr>
          <w:rFonts w:asciiTheme="majorHAnsi" w:hAnsiTheme="majorHAnsi" w:cs="Calibri"/>
          <w:sz w:val="24"/>
          <w:szCs w:val="24"/>
        </w:rPr>
        <w:t>, 124 выпуска –</w:t>
      </w:r>
      <w:r w:rsidR="00CC2885">
        <w:rPr>
          <w:rFonts w:asciiTheme="majorHAnsi" w:hAnsiTheme="majorHAnsi" w:cs="Calibri"/>
          <w:sz w:val="24"/>
          <w:szCs w:val="24"/>
        </w:rPr>
        <w:t xml:space="preserve"> </w:t>
      </w:r>
      <w:r w:rsidRPr="00A05DC2">
        <w:rPr>
          <w:rFonts w:asciiTheme="majorHAnsi" w:hAnsiTheme="majorHAnsi" w:cs="Calibri"/>
          <w:sz w:val="24"/>
          <w:szCs w:val="24"/>
          <w:lang w:val="en-US"/>
        </w:rPr>
        <w:t>USD</w:t>
      </w:r>
      <w:r w:rsidRPr="00A05DC2">
        <w:rPr>
          <w:rFonts w:asciiTheme="majorHAnsi" w:hAnsiTheme="majorHAnsi" w:cs="Calibri"/>
          <w:sz w:val="24"/>
          <w:szCs w:val="24"/>
        </w:rPr>
        <w:t xml:space="preserve"> 4,2 млн.</w:t>
      </w:r>
    </w:p>
    <w:p w:rsid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С 28 апреля предложен 126 выпуск государственных валютных облигаций. Объем размещения</w:t>
      </w:r>
      <w:r w:rsidR="00CC2885">
        <w:rPr>
          <w:rFonts w:asciiTheme="majorHAnsi" w:hAnsiTheme="majorHAnsi" w:cs="Calibri"/>
          <w:sz w:val="24"/>
          <w:szCs w:val="24"/>
        </w:rPr>
        <w:t xml:space="preserve"> –</w:t>
      </w:r>
      <w:r w:rsidRPr="00A05DC2">
        <w:rPr>
          <w:rFonts w:asciiTheme="majorHAnsi" w:hAnsiTheme="majorHAnsi" w:cs="Calibri"/>
          <w:sz w:val="24"/>
          <w:szCs w:val="24"/>
        </w:rPr>
        <w:t xml:space="preserve"> </w:t>
      </w:r>
      <w:r w:rsidRPr="00A05DC2">
        <w:rPr>
          <w:rFonts w:asciiTheme="majorHAnsi" w:hAnsiTheme="majorHAnsi" w:cs="Calibri"/>
          <w:sz w:val="24"/>
          <w:szCs w:val="24"/>
          <w:lang w:val="en-US"/>
        </w:rPr>
        <w:t>USD</w:t>
      </w:r>
      <w:r w:rsidR="00CC2885">
        <w:rPr>
          <w:rFonts w:asciiTheme="majorHAnsi" w:hAnsiTheme="majorHAnsi" w:cs="Calibri"/>
          <w:sz w:val="24"/>
          <w:szCs w:val="24"/>
        </w:rPr>
        <w:t xml:space="preserve"> 100 </w:t>
      </w:r>
      <w:proofErr w:type="spellStart"/>
      <w:proofErr w:type="gramStart"/>
      <w:r w:rsidR="00CC2885">
        <w:rPr>
          <w:rFonts w:asciiTheme="majorHAnsi" w:hAnsiTheme="majorHAnsi" w:cs="Calibri"/>
          <w:sz w:val="24"/>
          <w:szCs w:val="24"/>
        </w:rPr>
        <w:t>млн</w:t>
      </w:r>
      <w:proofErr w:type="spellEnd"/>
      <w:proofErr w:type="gramEnd"/>
      <w:r w:rsidRPr="00A05DC2">
        <w:rPr>
          <w:rFonts w:asciiTheme="majorHAnsi" w:hAnsiTheme="majorHAnsi" w:cs="Calibri"/>
          <w:sz w:val="24"/>
          <w:szCs w:val="24"/>
        </w:rPr>
        <w:t>, срок размещения</w:t>
      </w:r>
      <w:r w:rsidR="00CC2885">
        <w:rPr>
          <w:rFonts w:asciiTheme="majorHAnsi" w:hAnsiTheme="majorHAnsi" w:cs="Calibri"/>
          <w:sz w:val="24"/>
          <w:szCs w:val="24"/>
        </w:rPr>
        <w:t xml:space="preserve"> – </w:t>
      </w:r>
      <w:r w:rsidRPr="00A05DC2">
        <w:rPr>
          <w:rFonts w:asciiTheme="majorHAnsi" w:hAnsiTheme="majorHAnsi" w:cs="Calibri"/>
          <w:sz w:val="24"/>
          <w:szCs w:val="24"/>
        </w:rPr>
        <w:t>1 067 дней, ставка процентного дохода</w:t>
      </w:r>
      <w:r w:rsidR="00CC2885">
        <w:rPr>
          <w:rFonts w:asciiTheme="majorHAnsi" w:hAnsiTheme="majorHAnsi" w:cs="Calibri"/>
          <w:sz w:val="24"/>
          <w:szCs w:val="24"/>
        </w:rPr>
        <w:t xml:space="preserve"> – </w:t>
      </w:r>
      <w:r w:rsidRPr="00A05DC2">
        <w:rPr>
          <w:rFonts w:asciiTheme="majorHAnsi" w:hAnsiTheme="majorHAnsi" w:cs="Calibri"/>
          <w:sz w:val="24"/>
          <w:szCs w:val="24"/>
        </w:rPr>
        <w:t>7,15% годовых.</w:t>
      </w:r>
    </w:p>
    <w:p w:rsidR="00FF05AA" w:rsidRPr="00A05DC2" w:rsidRDefault="00FF05AA" w:rsidP="00C11730">
      <w:pPr>
        <w:tabs>
          <w:tab w:val="left" w:pos="10773"/>
        </w:tabs>
        <w:ind w:right="281"/>
        <w:jc w:val="both"/>
        <w:rPr>
          <w:rFonts w:asciiTheme="majorHAnsi" w:hAnsiTheme="majorHAnsi" w:cs="Calibri"/>
          <w:sz w:val="24"/>
          <w:szCs w:val="24"/>
        </w:rPr>
      </w:pPr>
      <w:r>
        <w:rPr>
          <w:rFonts w:asciiTheme="majorHAnsi" w:hAnsiTheme="majorHAnsi" w:cs="Calibri"/>
          <w:sz w:val="24"/>
          <w:szCs w:val="24"/>
        </w:rPr>
        <w:t>В тоже время, размещение корпоративных облигаций, номинированных в валюте, ограничивается с целью предотвращения использования данного инструмента в качестве альтернативы валютных кредитов.</w:t>
      </w:r>
    </w:p>
    <w:p w:rsidR="00A05DC2" w:rsidRPr="00CC2885" w:rsidRDefault="00A05DC2" w:rsidP="00C11730">
      <w:pPr>
        <w:tabs>
          <w:tab w:val="left" w:pos="10773"/>
        </w:tabs>
        <w:ind w:right="281"/>
        <w:jc w:val="both"/>
        <w:rPr>
          <w:rFonts w:asciiTheme="majorHAnsi" w:eastAsiaTheme="minorHAnsi" w:hAnsiTheme="majorHAnsi" w:cstheme="minorBidi"/>
          <w:b/>
          <w:sz w:val="24"/>
          <w:szCs w:val="24"/>
        </w:rPr>
      </w:pPr>
      <w:r w:rsidRPr="00CC2885">
        <w:rPr>
          <w:rFonts w:asciiTheme="majorHAnsi" w:eastAsiaTheme="minorHAnsi" w:hAnsiTheme="majorHAnsi" w:cstheme="minorBidi"/>
          <w:b/>
          <w:sz w:val="24"/>
          <w:szCs w:val="24"/>
        </w:rPr>
        <w:t>3. Задолженность по кредитам и займам</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Прирост задолженности экономики по кредитам в марте 2014 года составил BYR 4 421,5млрд. Задолженность в национальной валюте выросла на BYR 1 977,3 </w:t>
      </w:r>
      <w:proofErr w:type="spellStart"/>
      <w:proofErr w:type="gramStart"/>
      <w:r w:rsidRPr="00A05DC2">
        <w:rPr>
          <w:rFonts w:asciiTheme="majorHAnsi" w:eastAsiaTheme="minorHAnsi" w:hAnsiTheme="majorHAnsi" w:cstheme="minorBidi"/>
          <w:sz w:val="24"/>
          <w:szCs w:val="24"/>
        </w:rPr>
        <w:t>млрд</w:t>
      </w:r>
      <w:proofErr w:type="spellEnd"/>
      <w:proofErr w:type="gramEnd"/>
      <w:r w:rsidRPr="00A05DC2">
        <w:rPr>
          <w:rFonts w:asciiTheme="majorHAnsi" w:eastAsiaTheme="minorHAnsi" w:hAnsiTheme="majorHAnsi" w:cstheme="minorBidi"/>
          <w:sz w:val="24"/>
          <w:szCs w:val="24"/>
        </w:rPr>
        <w:t xml:space="preserve">, задолженность в иностранной валюте увеличилась на USD 92,2 млн. Изменение корзины валют за март составило 1,7%, что привело к переоценке задолженности экономики в иностранной валюте в сторону увеличения. Прирост требований к экономике в первом квартале составил 5,1%, что существенно выше  установленного </w:t>
      </w:r>
      <w:proofErr w:type="spellStart"/>
      <w:r w:rsidR="00FF05AA">
        <w:rPr>
          <w:rFonts w:asciiTheme="majorHAnsi" w:eastAsiaTheme="minorHAnsi" w:hAnsiTheme="majorHAnsi" w:cstheme="minorBidi"/>
          <w:sz w:val="24"/>
          <w:szCs w:val="24"/>
        </w:rPr>
        <w:t>Нацбанком</w:t>
      </w:r>
      <w:proofErr w:type="spellEnd"/>
      <w:r w:rsidR="00FF05AA">
        <w:rPr>
          <w:rFonts w:asciiTheme="majorHAnsi" w:eastAsiaTheme="minorHAnsi" w:hAnsiTheme="majorHAnsi" w:cstheme="minorBidi"/>
          <w:sz w:val="24"/>
          <w:szCs w:val="24"/>
        </w:rPr>
        <w:t xml:space="preserve"> </w:t>
      </w:r>
      <w:r w:rsidRPr="00A05DC2">
        <w:rPr>
          <w:rFonts w:asciiTheme="majorHAnsi" w:eastAsiaTheme="minorHAnsi" w:hAnsiTheme="majorHAnsi" w:cstheme="minorBidi"/>
          <w:sz w:val="24"/>
          <w:szCs w:val="24"/>
        </w:rPr>
        <w:t>показателя на уровне 0,7% в месяц</w:t>
      </w:r>
      <w:r w:rsidR="00FF05AA">
        <w:rPr>
          <w:rFonts w:asciiTheme="majorHAnsi" w:eastAsiaTheme="minorHAnsi" w:hAnsiTheme="majorHAnsi" w:cstheme="minorBidi"/>
          <w:sz w:val="24"/>
          <w:szCs w:val="24"/>
        </w:rPr>
        <w:t>.</w:t>
      </w:r>
      <w:r w:rsidRPr="00A05DC2">
        <w:rPr>
          <w:rFonts w:asciiTheme="majorHAnsi" w:eastAsiaTheme="minorHAnsi" w:hAnsiTheme="majorHAnsi" w:cstheme="minorBidi"/>
          <w:sz w:val="24"/>
          <w:szCs w:val="24"/>
        </w:rPr>
        <w:t xml:space="preserve"> Прирост требований к физическим лицам составил 2,8%, к юридическим лицам</w:t>
      </w:r>
      <w:r w:rsidR="00CC2885">
        <w:rPr>
          <w:rFonts w:asciiTheme="majorHAnsi" w:eastAsiaTheme="minorHAnsi" w:hAnsiTheme="majorHAnsi" w:cstheme="minorBidi"/>
          <w:sz w:val="24"/>
          <w:szCs w:val="24"/>
        </w:rPr>
        <w:t xml:space="preserve"> – </w:t>
      </w:r>
      <w:r w:rsidRPr="00A05DC2">
        <w:rPr>
          <w:rFonts w:asciiTheme="majorHAnsi" w:eastAsiaTheme="minorHAnsi" w:hAnsiTheme="majorHAnsi" w:cstheme="minorBidi"/>
          <w:sz w:val="24"/>
          <w:szCs w:val="24"/>
        </w:rPr>
        <w:t>5,6%.</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Общий объем по кредитам, выданным секторам экономики в национальной валюте, на 1 апреля 2014 года составляет BYR 132,6 </w:t>
      </w:r>
      <w:proofErr w:type="spellStart"/>
      <w:proofErr w:type="gramStart"/>
      <w:r w:rsidRPr="00A05DC2">
        <w:rPr>
          <w:rFonts w:asciiTheme="majorHAnsi" w:eastAsiaTheme="minorHAnsi" w:hAnsiTheme="majorHAnsi" w:cstheme="minorBidi"/>
          <w:sz w:val="24"/>
          <w:szCs w:val="24"/>
        </w:rPr>
        <w:t>трлн</w:t>
      </w:r>
      <w:proofErr w:type="spellEnd"/>
      <w:proofErr w:type="gramEnd"/>
      <w:r w:rsidRPr="00A05DC2">
        <w:rPr>
          <w:rFonts w:asciiTheme="majorHAnsi" w:eastAsiaTheme="minorHAnsi" w:hAnsiTheme="majorHAnsi" w:cstheme="minorBidi"/>
          <w:sz w:val="24"/>
          <w:szCs w:val="24"/>
        </w:rPr>
        <w:t>, в иностранной валюте – USD 14 037,7 млн.</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В </w:t>
      </w:r>
      <w:proofErr w:type="gramStart"/>
      <w:r w:rsidRPr="00A05DC2">
        <w:rPr>
          <w:rFonts w:asciiTheme="majorHAnsi" w:eastAsiaTheme="minorHAnsi" w:hAnsiTheme="majorHAnsi" w:cstheme="minorBidi"/>
          <w:sz w:val="24"/>
          <w:szCs w:val="24"/>
        </w:rPr>
        <w:t>марте</w:t>
      </w:r>
      <w:proofErr w:type="gramEnd"/>
      <w:r w:rsidRPr="00A05DC2">
        <w:rPr>
          <w:rFonts w:asciiTheme="majorHAnsi" w:eastAsiaTheme="minorHAnsi" w:hAnsiTheme="majorHAnsi" w:cstheme="minorBidi"/>
          <w:sz w:val="24"/>
          <w:szCs w:val="24"/>
        </w:rPr>
        <w:t xml:space="preserve"> наибольший объем кредитных ресурсов в национальной валюте был привлечен  физическими лицами. На чистой основе задолженность экономики по краткосрочным кредитам в национальной валюте выросла на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1 347,2 </w:t>
      </w:r>
      <w:proofErr w:type="spellStart"/>
      <w:proofErr w:type="gramStart"/>
      <w:r w:rsidRPr="00A05DC2">
        <w:rPr>
          <w:rFonts w:asciiTheme="majorHAnsi" w:eastAsiaTheme="minorHAnsi" w:hAnsiTheme="majorHAnsi" w:cstheme="minorBidi"/>
          <w:sz w:val="24"/>
          <w:szCs w:val="24"/>
        </w:rPr>
        <w:t>млрд</w:t>
      </w:r>
      <w:proofErr w:type="spellEnd"/>
      <w:proofErr w:type="gramEnd"/>
      <w:r w:rsidRPr="00A05DC2">
        <w:rPr>
          <w:rFonts w:asciiTheme="majorHAnsi" w:eastAsiaTheme="minorHAnsi" w:hAnsiTheme="majorHAnsi" w:cstheme="minorBidi"/>
          <w:sz w:val="24"/>
          <w:szCs w:val="24"/>
        </w:rPr>
        <w:t xml:space="preserve">, по долгосрочным кредитам прирост задолженности составил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629,9 млрд.</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lastRenderedPageBreak/>
        <w:t xml:space="preserve">Государственные предприятия привлекли в марте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817,3 </w:t>
      </w:r>
      <w:proofErr w:type="spellStart"/>
      <w:proofErr w:type="gramStart"/>
      <w:r w:rsidRPr="00A05DC2">
        <w:rPr>
          <w:rFonts w:asciiTheme="majorHAnsi" w:eastAsiaTheme="minorHAnsi" w:hAnsiTheme="majorHAnsi" w:cstheme="minorBidi"/>
          <w:sz w:val="24"/>
          <w:szCs w:val="24"/>
        </w:rPr>
        <w:t>млрд</w:t>
      </w:r>
      <w:proofErr w:type="spellEnd"/>
      <w:proofErr w:type="gramEnd"/>
      <w:r w:rsidRPr="00A05DC2">
        <w:rPr>
          <w:rFonts w:asciiTheme="majorHAnsi" w:eastAsiaTheme="minorHAnsi" w:hAnsiTheme="majorHAnsi" w:cstheme="minorBidi"/>
          <w:sz w:val="24"/>
          <w:szCs w:val="24"/>
        </w:rPr>
        <w:t xml:space="preserve"> краткосрочных  рублевых кредитов. Задолженность по долгосрочным кредитам в национальной валюте данного сектора сократилась на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190,6 млрд.</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Физические лица увеличили задолженность по краткосрочным кредитам в национальной валюте на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14,5 </w:t>
      </w:r>
      <w:proofErr w:type="spellStart"/>
      <w:proofErr w:type="gramStart"/>
      <w:r w:rsidRPr="00A05DC2">
        <w:rPr>
          <w:rFonts w:asciiTheme="majorHAnsi" w:eastAsiaTheme="minorHAnsi" w:hAnsiTheme="majorHAnsi" w:cstheme="minorBidi"/>
          <w:sz w:val="24"/>
          <w:szCs w:val="24"/>
        </w:rPr>
        <w:t>млрд</w:t>
      </w:r>
      <w:proofErr w:type="spellEnd"/>
      <w:proofErr w:type="gramEnd"/>
      <w:r w:rsidRPr="00A05DC2">
        <w:rPr>
          <w:rFonts w:asciiTheme="majorHAnsi" w:eastAsiaTheme="minorHAnsi" w:hAnsiTheme="majorHAnsi" w:cstheme="minorBidi"/>
          <w:sz w:val="24"/>
          <w:szCs w:val="24"/>
        </w:rPr>
        <w:t xml:space="preserve"> и по долгосрочным кредитам </w:t>
      </w:r>
      <w:r w:rsidR="00CC2885">
        <w:rPr>
          <w:rFonts w:asciiTheme="majorHAnsi" w:eastAsiaTheme="minorHAnsi" w:hAnsiTheme="majorHAnsi" w:cstheme="minorBidi"/>
          <w:sz w:val="24"/>
          <w:szCs w:val="24"/>
        </w:rPr>
        <w:t>–</w:t>
      </w:r>
      <w:r w:rsidRPr="00A05DC2">
        <w:rPr>
          <w:rFonts w:asciiTheme="majorHAnsi" w:eastAsiaTheme="minorHAnsi" w:hAnsiTheme="majorHAnsi" w:cstheme="minorBidi"/>
          <w:sz w:val="24"/>
          <w:szCs w:val="24"/>
        </w:rPr>
        <w:t xml:space="preserve"> на</w:t>
      </w:r>
      <w:r w:rsidR="00CC2885">
        <w:rPr>
          <w:rFonts w:asciiTheme="majorHAnsi" w:eastAsiaTheme="minorHAnsi" w:hAnsiTheme="majorHAnsi" w:cstheme="minorBidi"/>
          <w:sz w:val="24"/>
          <w:szCs w:val="24"/>
        </w:rPr>
        <w:t xml:space="preserve">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696,7 млрд. В марте отмечен наибольший прирост потребительского кредитования (на </w:t>
      </w:r>
      <w:r w:rsidRPr="00A05DC2">
        <w:rPr>
          <w:rFonts w:asciiTheme="majorHAnsi" w:eastAsiaTheme="minorHAnsi" w:hAnsiTheme="majorHAnsi" w:cstheme="minorBidi"/>
          <w:sz w:val="24"/>
          <w:szCs w:val="24"/>
          <w:lang w:val="en-US"/>
        </w:rPr>
        <w:t>BYR</w:t>
      </w:r>
      <w:r w:rsidR="0023092F">
        <w:rPr>
          <w:rFonts w:asciiTheme="majorHAnsi" w:eastAsiaTheme="minorHAnsi" w:hAnsiTheme="majorHAnsi" w:cstheme="minorBidi"/>
          <w:sz w:val="24"/>
          <w:szCs w:val="24"/>
        </w:rPr>
        <w:t xml:space="preserve"> 216,5 </w:t>
      </w:r>
      <w:proofErr w:type="spellStart"/>
      <w:r w:rsidR="0023092F">
        <w:rPr>
          <w:rFonts w:asciiTheme="majorHAnsi" w:eastAsiaTheme="minorHAnsi" w:hAnsiTheme="majorHAnsi" w:cstheme="minorBidi"/>
          <w:sz w:val="24"/>
          <w:szCs w:val="24"/>
        </w:rPr>
        <w:t>млрд</w:t>
      </w:r>
      <w:proofErr w:type="spellEnd"/>
      <w:r w:rsidR="0023092F">
        <w:rPr>
          <w:rFonts w:asciiTheme="majorHAnsi" w:eastAsiaTheme="minorHAnsi" w:hAnsiTheme="majorHAnsi" w:cstheme="minorBidi"/>
          <w:sz w:val="24"/>
          <w:szCs w:val="24"/>
        </w:rPr>
        <w:t>) с начала 2014 года</w:t>
      </w:r>
      <w:r w:rsidRPr="00A05DC2">
        <w:rPr>
          <w:rFonts w:asciiTheme="majorHAnsi" w:eastAsiaTheme="minorHAnsi" w:hAnsiTheme="majorHAnsi" w:cstheme="minorBidi"/>
          <w:sz w:val="24"/>
          <w:szCs w:val="24"/>
        </w:rPr>
        <w:t>.</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Частный сектор  увеличил краткосрочную задолженность в национальной валюте на BYR 443,1 </w:t>
      </w:r>
      <w:proofErr w:type="spellStart"/>
      <w:proofErr w:type="gramStart"/>
      <w:r w:rsidRPr="00A05DC2">
        <w:rPr>
          <w:rFonts w:asciiTheme="majorHAnsi" w:eastAsiaTheme="minorHAnsi" w:hAnsiTheme="majorHAnsi" w:cstheme="minorBidi"/>
          <w:sz w:val="24"/>
          <w:szCs w:val="24"/>
        </w:rPr>
        <w:t>млрд</w:t>
      </w:r>
      <w:proofErr w:type="spellEnd"/>
      <w:proofErr w:type="gramEnd"/>
      <w:r w:rsidRPr="00A05DC2">
        <w:rPr>
          <w:rFonts w:asciiTheme="majorHAnsi" w:eastAsiaTheme="minorHAnsi" w:hAnsiTheme="majorHAnsi" w:cstheme="minorBidi"/>
          <w:sz w:val="24"/>
          <w:szCs w:val="24"/>
        </w:rPr>
        <w:t>, задолженность по долгосрочным кредитам выросла на BYR 149,6 млрд.</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Небанковские финансовые организации увеличили краткосрочную задолженность на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72,3 </w:t>
      </w:r>
      <w:proofErr w:type="spellStart"/>
      <w:proofErr w:type="gramStart"/>
      <w:r w:rsidRPr="00A05DC2">
        <w:rPr>
          <w:rFonts w:asciiTheme="majorHAnsi" w:eastAsiaTheme="minorHAnsi" w:hAnsiTheme="majorHAnsi" w:cstheme="minorBidi"/>
          <w:sz w:val="24"/>
          <w:szCs w:val="24"/>
        </w:rPr>
        <w:t>млрд</w:t>
      </w:r>
      <w:proofErr w:type="spellEnd"/>
      <w:proofErr w:type="gramEnd"/>
      <w:r w:rsidRPr="00A05DC2">
        <w:rPr>
          <w:rFonts w:asciiTheme="majorHAnsi" w:eastAsiaTheme="minorHAnsi" w:hAnsiTheme="majorHAnsi" w:cstheme="minorBidi"/>
          <w:sz w:val="24"/>
          <w:szCs w:val="24"/>
        </w:rPr>
        <w:t xml:space="preserve">, при этом снижение долгосрочной задолженности по кредитам в национальной валюте составило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25,7 млрд. </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Задолженность по кредитам в иностранной валюте в марте выросла на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92,2 млн. Прирост обеспечили государственные и частные предприятия.</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Краткосрочная задолженность государственных предприятий в иностранной валюте в марте уменьшилась на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48,9 </w:t>
      </w:r>
      <w:proofErr w:type="spellStart"/>
      <w:proofErr w:type="gramStart"/>
      <w:r w:rsidRPr="00A05DC2">
        <w:rPr>
          <w:rFonts w:asciiTheme="majorHAnsi" w:eastAsiaTheme="minorHAnsi" w:hAnsiTheme="majorHAnsi" w:cstheme="minorBidi"/>
          <w:sz w:val="24"/>
          <w:szCs w:val="24"/>
        </w:rPr>
        <w:t>млн</w:t>
      </w:r>
      <w:proofErr w:type="spellEnd"/>
      <w:proofErr w:type="gramEnd"/>
      <w:r w:rsidRPr="00A05DC2">
        <w:rPr>
          <w:rFonts w:asciiTheme="majorHAnsi" w:eastAsiaTheme="minorHAnsi" w:hAnsiTheme="majorHAnsi" w:cstheme="minorBidi"/>
          <w:sz w:val="24"/>
          <w:szCs w:val="24"/>
        </w:rPr>
        <w:t xml:space="preserve">, задолженность по долгосрочным кредитам увеличилась на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80,8 млн. Общий прирост задолженности по валютным кредитам данного сектора экономики составил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31,9 млн.</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Частный сектор привлек в марте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5,5 </w:t>
      </w:r>
      <w:proofErr w:type="spellStart"/>
      <w:proofErr w:type="gramStart"/>
      <w:r w:rsidRPr="00A05DC2">
        <w:rPr>
          <w:rFonts w:asciiTheme="majorHAnsi" w:eastAsiaTheme="minorHAnsi" w:hAnsiTheme="majorHAnsi" w:cstheme="minorBidi"/>
          <w:sz w:val="24"/>
          <w:szCs w:val="24"/>
        </w:rPr>
        <w:t>млн</w:t>
      </w:r>
      <w:proofErr w:type="spellEnd"/>
      <w:proofErr w:type="gramEnd"/>
      <w:r w:rsidRPr="00A05DC2">
        <w:rPr>
          <w:rFonts w:asciiTheme="majorHAnsi" w:eastAsiaTheme="minorHAnsi" w:hAnsiTheme="majorHAnsi" w:cstheme="minorBidi"/>
          <w:sz w:val="24"/>
          <w:szCs w:val="24"/>
        </w:rPr>
        <w:t xml:space="preserve"> краткосрочных кредитов и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45,9 </w:t>
      </w:r>
      <w:proofErr w:type="spellStart"/>
      <w:r w:rsidRPr="00A05DC2">
        <w:rPr>
          <w:rFonts w:asciiTheme="majorHAnsi" w:eastAsiaTheme="minorHAnsi" w:hAnsiTheme="majorHAnsi" w:cstheme="minorBidi"/>
          <w:sz w:val="24"/>
          <w:szCs w:val="24"/>
        </w:rPr>
        <w:t>млн</w:t>
      </w:r>
      <w:proofErr w:type="spellEnd"/>
      <w:r w:rsidR="00CC2885">
        <w:rPr>
          <w:rFonts w:asciiTheme="majorHAnsi" w:eastAsiaTheme="minorHAnsi" w:hAnsiTheme="majorHAnsi" w:cstheme="minorBidi"/>
          <w:sz w:val="24"/>
          <w:szCs w:val="24"/>
        </w:rPr>
        <w:t xml:space="preserve"> –</w:t>
      </w:r>
      <w:r w:rsidRPr="00A05DC2">
        <w:rPr>
          <w:rFonts w:asciiTheme="majorHAnsi" w:eastAsiaTheme="minorHAnsi" w:hAnsiTheme="majorHAnsi" w:cstheme="minorBidi"/>
          <w:sz w:val="24"/>
          <w:szCs w:val="24"/>
        </w:rPr>
        <w:t xml:space="preserve">долгосрочных. Общий объем прироста валютных кредитов данным сектором экономики составил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51,4 млн. </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Физические лица на фоне запрета на привлечение кредитов в иностранной валюте постепенно сокращают имеющуюся долгосрочную задолженность. В </w:t>
      </w:r>
      <w:proofErr w:type="gramStart"/>
      <w:r w:rsidRPr="00A05DC2">
        <w:rPr>
          <w:rFonts w:asciiTheme="majorHAnsi" w:eastAsiaTheme="minorHAnsi" w:hAnsiTheme="majorHAnsi" w:cstheme="minorBidi"/>
          <w:sz w:val="24"/>
          <w:szCs w:val="24"/>
        </w:rPr>
        <w:t>марте</w:t>
      </w:r>
      <w:proofErr w:type="gramEnd"/>
      <w:r w:rsidRPr="00A05DC2">
        <w:rPr>
          <w:rFonts w:asciiTheme="majorHAnsi" w:eastAsiaTheme="minorHAnsi" w:hAnsiTheme="majorHAnsi" w:cstheme="minorBidi"/>
          <w:sz w:val="24"/>
          <w:szCs w:val="24"/>
        </w:rPr>
        <w:t xml:space="preserve"> сокращение составило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2,1 млн.</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Небанковские финансовые организации увеличили в марте задолженность по краткосрочным валютным кредитам на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11,5 </w:t>
      </w:r>
      <w:proofErr w:type="spellStart"/>
      <w:proofErr w:type="gramStart"/>
      <w:r w:rsidRPr="00A05DC2">
        <w:rPr>
          <w:rFonts w:asciiTheme="majorHAnsi" w:eastAsiaTheme="minorHAnsi" w:hAnsiTheme="majorHAnsi" w:cstheme="minorBidi"/>
          <w:sz w:val="24"/>
          <w:szCs w:val="24"/>
        </w:rPr>
        <w:t>млн</w:t>
      </w:r>
      <w:proofErr w:type="spellEnd"/>
      <w:proofErr w:type="gramEnd"/>
      <w:r w:rsidRPr="00A05DC2">
        <w:rPr>
          <w:rFonts w:asciiTheme="majorHAnsi" w:eastAsiaTheme="minorHAnsi" w:hAnsiTheme="majorHAnsi" w:cstheme="minorBidi"/>
          <w:sz w:val="24"/>
          <w:szCs w:val="24"/>
        </w:rPr>
        <w:t xml:space="preserve">, по долгосрочным кредитам сокращение составило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0,5 млн.</w:t>
      </w:r>
    </w:p>
    <w:p w:rsidR="00A05DC2" w:rsidRPr="00A05DC2" w:rsidRDefault="00A05DC2" w:rsidP="00C11730">
      <w:pPr>
        <w:tabs>
          <w:tab w:val="left" w:pos="10773"/>
        </w:tabs>
        <w:ind w:right="281"/>
        <w:jc w:val="both"/>
        <w:rPr>
          <w:rFonts w:asciiTheme="majorHAnsi" w:eastAsiaTheme="minorHAnsi" w:hAnsiTheme="majorHAnsi" w:cstheme="minorBidi"/>
          <w:sz w:val="24"/>
          <w:szCs w:val="24"/>
        </w:rPr>
      </w:pPr>
      <w:r w:rsidRPr="00A05DC2">
        <w:rPr>
          <w:rFonts w:asciiTheme="majorHAnsi" w:eastAsiaTheme="minorHAnsi" w:hAnsiTheme="majorHAnsi" w:cstheme="minorBidi"/>
          <w:sz w:val="24"/>
          <w:szCs w:val="24"/>
        </w:rPr>
        <w:t xml:space="preserve">Ситуация с быстрым ростом проблемной задолженности по кредитам требует пристального внимания. Проблемная задолженность государственных предприятий с начала года выросла в 2,3 раза. В национальной валюте проблемная задолженность данного сектора экономики за 3 месяца выросла с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449,1 </w:t>
      </w:r>
      <w:proofErr w:type="spellStart"/>
      <w:proofErr w:type="gramStart"/>
      <w:r w:rsidRPr="00A05DC2">
        <w:rPr>
          <w:rFonts w:asciiTheme="majorHAnsi" w:eastAsiaTheme="minorHAnsi" w:hAnsiTheme="majorHAnsi" w:cstheme="minorBidi"/>
          <w:sz w:val="24"/>
          <w:szCs w:val="24"/>
        </w:rPr>
        <w:t>млрд</w:t>
      </w:r>
      <w:proofErr w:type="spellEnd"/>
      <w:proofErr w:type="gramEnd"/>
      <w:r w:rsidRPr="00A05DC2">
        <w:rPr>
          <w:rFonts w:asciiTheme="majorHAnsi" w:eastAsiaTheme="minorHAnsi" w:hAnsiTheme="majorHAnsi" w:cstheme="minorBidi"/>
          <w:sz w:val="24"/>
          <w:szCs w:val="24"/>
        </w:rPr>
        <w:t xml:space="preserve"> до </w:t>
      </w:r>
      <w:r w:rsidRPr="00A05DC2">
        <w:rPr>
          <w:rFonts w:asciiTheme="majorHAnsi" w:eastAsiaTheme="minorHAnsi" w:hAnsiTheme="majorHAnsi" w:cstheme="minorBidi"/>
          <w:sz w:val="24"/>
          <w:szCs w:val="24"/>
          <w:lang w:val="en-US"/>
        </w:rPr>
        <w:t>BYR</w:t>
      </w:r>
      <w:r w:rsidRPr="00A05DC2">
        <w:rPr>
          <w:rFonts w:asciiTheme="majorHAnsi" w:eastAsiaTheme="minorHAnsi" w:hAnsiTheme="majorHAnsi" w:cstheme="minorBidi"/>
          <w:sz w:val="24"/>
          <w:szCs w:val="24"/>
        </w:rPr>
        <w:t xml:space="preserve"> 999,2 </w:t>
      </w:r>
      <w:proofErr w:type="spellStart"/>
      <w:r w:rsidRPr="00A05DC2">
        <w:rPr>
          <w:rFonts w:asciiTheme="majorHAnsi" w:eastAsiaTheme="minorHAnsi" w:hAnsiTheme="majorHAnsi" w:cstheme="minorBidi"/>
          <w:sz w:val="24"/>
          <w:szCs w:val="24"/>
        </w:rPr>
        <w:t>млрд</w:t>
      </w:r>
      <w:proofErr w:type="spellEnd"/>
      <w:r w:rsidRPr="00A05DC2">
        <w:rPr>
          <w:rFonts w:asciiTheme="majorHAnsi" w:eastAsiaTheme="minorHAnsi" w:hAnsiTheme="majorHAnsi" w:cstheme="minorBidi"/>
          <w:sz w:val="24"/>
          <w:szCs w:val="24"/>
        </w:rPr>
        <w:t xml:space="preserve"> (на 1 апреля 2014 года), в иностранной валюте</w:t>
      </w:r>
      <w:r w:rsidR="00CC2885">
        <w:rPr>
          <w:rFonts w:asciiTheme="majorHAnsi" w:eastAsiaTheme="minorHAnsi" w:hAnsiTheme="majorHAnsi" w:cstheme="minorBidi"/>
          <w:sz w:val="24"/>
          <w:szCs w:val="24"/>
        </w:rPr>
        <w:t xml:space="preserve"> –</w:t>
      </w:r>
      <w:r w:rsidRPr="00A05DC2">
        <w:rPr>
          <w:rFonts w:asciiTheme="majorHAnsi" w:eastAsiaTheme="minorHAnsi" w:hAnsiTheme="majorHAnsi" w:cstheme="minorBidi"/>
          <w:sz w:val="24"/>
          <w:szCs w:val="24"/>
        </w:rPr>
        <w:t xml:space="preserve"> с</w:t>
      </w:r>
      <w:r w:rsidR="00CC2885">
        <w:rPr>
          <w:rFonts w:asciiTheme="majorHAnsi" w:eastAsiaTheme="minorHAnsi" w:hAnsiTheme="majorHAnsi" w:cstheme="minorBidi"/>
          <w:sz w:val="24"/>
          <w:szCs w:val="24"/>
        </w:rPr>
        <w:t xml:space="preserve">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55,0 </w:t>
      </w:r>
      <w:proofErr w:type="spellStart"/>
      <w:r w:rsidRPr="00A05DC2">
        <w:rPr>
          <w:rFonts w:asciiTheme="majorHAnsi" w:eastAsiaTheme="minorHAnsi" w:hAnsiTheme="majorHAnsi" w:cstheme="minorBidi"/>
          <w:sz w:val="24"/>
          <w:szCs w:val="24"/>
        </w:rPr>
        <w:t>млн</w:t>
      </w:r>
      <w:proofErr w:type="spellEnd"/>
      <w:r w:rsidRPr="00A05DC2">
        <w:rPr>
          <w:rFonts w:asciiTheme="majorHAnsi" w:eastAsiaTheme="minorHAnsi" w:hAnsiTheme="majorHAnsi" w:cstheme="minorBidi"/>
          <w:sz w:val="24"/>
          <w:szCs w:val="24"/>
        </w:rPr>
        <w:t xml:space="preserve"> до </w:t>
      </w:r>
      <w:r w:rsidRPr="00A05DC2">
        <w:rPr>
          <w:rFonts w:asciiTheme="majorHAnsi" w:eastAsiaTheme="minorHAnsi" w:hAnsiTheme="majorHAnsi" w:cstheme="minorBidi"/>
          <w:sz w:val="24"/>
          <w:szCs w:val="24"/>
          <w:lang w:val="en-US"/>
        </w:rPr>
        <w:t>USD</w:t>
      </w:r>
      <w:r w:rsidRPr="00A05DC2">
        <w:rPr>
          <w:rFonts w:asciiTheme="majorHAnsi" w:eastAsiaTheme="minorHAnsi" w:hAnsiTheme="majorHAnsi" w:cstheme="minorBidi"/>
          <w:sz w:val="24"/>
          <w:szCs w:val="24"/>
        </w:rPr>
        <w:t xml:space="preserve"> 125,8 млн. Основной объем проблемной задолженности приходится на краткосрочные кредиты, что может сократить возможности банков по кредитованию иных секторов экономики на фоне ожидаемого сокращения объема рублевых депозитов.</w:t>
      </w:r>
    </w:p>
    <w:p w:rsidR="00A05DC2" w:rsidRPr="00CC2885" w:rsidRDefault="00A05DC2" w:rsidP="00C11730">
      <w:pPr>
        <w:tabs>
          <w:tab w:val="left" w:pos="10773"/>
        </w:tabs>
        <w:ind w:right="281"/>
        <w:jc w:val="both"/>
        <w:rPr>
          <w:rFonts w:asciiTheme="majorHAnsi" w:hAnsiTheme="majorHAnsi"/>
          <w:b/>
          <w:sz w:val="24"/>
          <w:szCs w:val="24"/>
        </w:rPr>
      </w:pPr>
      <w:r w:rsidRPr="00CC2885">
        <w:rPr>
          <w:rFonts w:asciiTheme="majorHAnsi" w:hAnsiTheme="majorHAnsi"/>
          <w:b/>
          <w:sz w:val="24"/>
          <w:szCs w:val="24"/>
        </w:rPr>
        <w:t xml:space="preserve">4. </w:t>
      </w:r>
      <w:r w:rsidR="00CC2885">
        <w:rPr>
          <w:rFonts w:asciiTheme="majorHAnsi" w:hAnsiTheme="majorHAnsi"/>
          <w:b/>
          <w:sz w:val="24"/>
          <w:szCs w:val="24"/>
        </w:rPr>
        <w:t>Финансовые результаты экономики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январе-феврале 2014 году экономика Беларуси заработала BYR 4 842,9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чистой прибыли, в том числе в феврале </w:t>
      </w:r>
      <w:r w:rsidRPr="00A05DC2">
        <w:rPr>
          <w:rFonts w:asciiTheme="majorHAnsi" w:hAnsiTheme="majorHAnsi"/>
          <w:sz w:val="24"/>
          <w:szCs w:val="24"/>
          <w:lang w:val="en-US"/>
        </w:rPr>
        <w:t>BYR</w:t>
      </w:r>
      <w:r w:rsidRPr="00A05DC2">
        <w:rPr>
          <w:rFonts w:asciiTheme="majorHAnsi" w:hAnsiTheme="majorHAnsi"/>
          <w:sz w:val="24"/>
          <w:szCs w:val="24"/>
        </w:rPr>
        <w:t xml:space="preserve"> 2 352,3 млрд. В январе-феврале 2013 года данный показатель сложился на уровне </w:t>
      </w:r>
      <w:r w:rsidRPr="00A05DC2">
        <w:rPr>
          <w:rFonts w:asciiTheme="majorHAnsi" w:hAnsiTheme="majorHAnsi"/>
          <w:sz w:val="24"/>
          <w:szCs w:val="24"/>
          <w:lang w:val="en-US"/>
        </w:rPr>
        <w:t>BYR</w:t>
      </w:r>
      <w:r w:rsidRPr="00A05DC2">
        <w:rPr>
          <w:rFonts w:asciiTheme="majorHAnsi" w:hAnsiTheme="majorHAnsi"/>
          <w:sz w:val="24"/>
          <w:szCs w:val="24"/>
        </w:rPr>
        <w:t xml:space="preserve"> 7 741,9 млрд. Уменьшение чистой прибыли к январю-февралю 2013 года составило </w:t>
      </w:r>
      <w:r w:rsidRPr="00A05DC2">
        <w:rPr>
          <w:rFonts w:asciiTheme="majorHAnsi" w:hAnsiTheme="majorHAnsi"/>
          <w:sz w:val="24"/>
          <w:szCs w:val="24"/>
          <w:lang w:val="en-US"/>
        </w:rPr>
        <w:t>BYR</w:t>
      </w:r>
      <w:r w:rsidRPr="00A05DC2">
        <w:rPr>
          <w:rFonts w:asciiTheme="majorHAnsi" w:hAnsiTheme="majorHAnsi"/>
          <w:sz w:val="24"/>
          <w:szCs w:val="24"/>
        </w:rPr>
        <w:t xml:space="preserve"> 2 899,0 млрд.</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lastRenderedPageBreak/>
        <w:t>Снижение финансовых результатов произошло по причине падения чистой прибыли прибыльных предприятий на фоне увеличения убытков убыточных предприятий.</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Чистая прибыль прибыльных предприятий составила </w:t>
      </w:r>
      <w:r w:rsidRPr="00A05DC2">
        <w:rPr>
          <w:rFonts w:asciiTheme="majorHAnsi" w:hAnsiTheme="majorHAnsi"/>
          <w:sz w:val="24"/>
          <w:szCs w:val="24"/>
          <w:lang w:val="en-US"/>
        </w:rPr>
        <w:t>BYR</w:t>
      </w:r>
      <w:r w:rsidRPr="00A05DC2">
        <w:rPr>
          <w:rFonts w:asciiTheme="majorHAnsi" w:hAnsiTheme="majorHAnsi"/>
          <w:sz w:val="24"/>
          <w:szCs w:val="24"/>
        </w:rPr>
        <w:t xml:space="preserve"> 8 597,8 млрд. Снижение к январю-февралю 2013 года составило </w:t>
      </w:r>
      <w:r w:rsidRPr="00A05DC2">
        <w:rPr>
          <w:rFonts w:asciiTheme="majorHAnsi" w:hAnsiTheme="majorHAnsi"/>
          <w:sz w:val="24"/>
          <w:szCs w:val="24"/>
          <w:lang w:val="en-US"/>
        </w:rPr>
        <w:t>BYR</w:t>
      </w:r>
      <w:r w:rsidRPr="00A05DC2">
        <w:rPr>
          <w:rFonts w:asciiTheme="majorHAnsi" w:hAnsiTheme="majorHAnsi"/>
          <w:sz w:val="24"/>
          <w:szCs w:val="24"/>
        </w:rPr>
        <w:t xml:space="preserve"> 935,7 млрд.</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Чистые убытки убыточных предприятий составили </w:t>
      </w:r>
      <w:r w:rsidRPr="00A05DC2">
        <w:rPr>
          <w:rFonts w:asciiTheme="majorHAnsi" w:hAnsiTheme="majorHAnsi"/>
          <w:sz w:val="24"/>
          <w:szCs w:val="24"/>
          <w:lang w:val="en-US"/>
        </w:rPr>
        <w:t>BYR</w:t>
      </w:r>
      <w:r w:rsidRPr="00A05DC2">
        <w:rPr>
          <w:rFonts w:asciiTheme="majorHAnsi" w:hAnsiTheme="majorHAnsi"/>
          <w:sz w:val="24"/>
          <w:szCs w:val="24"/>
        </w:rPr>
        <w:t xml:space="preserve"> 3 755,0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что выше на </w:t>
      </w:r>
      <w:r w:rsidRPr="00A05DC2">
        <w:rPr>
          <w:rFonts w:asciiTheme="majorHAnsi" w:hAnsiTheme="majorHAnsi"/>
          <w:sz w:val="24"/>
          <w:szCs w:val="24"/>
          <w:lang w:val="en-US"/>
        </w:rPr>
        <w:t>BYR</w:t>
      </w:r>
      <w:r w:rsidRPr="00A05DC2">
        <w:rPr>
          <w:rFonts w:asciiTheme="majorHAnsi" w:hAnsiTheme="majorHAnsi"/>
          <w:sz w:val="24"/>
          <w:szCs w:val="24"/>
        </w:rPr>
        <w:t xml:space="preserve"> 1 963,3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чем в январе-феврале 2013 года. Число убыточных предприятий выросло на 486 организаций или на 46% по сравнению с январем-февралем 2013 года. Убыточными являются 19,3% всей численности предприятий отчитывающихся на регулярной основе (13,2%</w:t>
      </w:r>
      <w:r w:rsidR="00CC2885">
        <w:rPr>
          <w:rFonts w:asciiTheme="majorHAnsi" w:hAnsiTheme="majorHAnsi"/>
          <w:sz w:val="24"/>
          <w:szCs w:val="24"/>
        </w:rPr>
        <w:t xml:space="preserve"> </w:t>
      </w:r>
      <w:r w:rsidRPr="00A05DC2">
        <w:rPr>
          <w:rFonts w:asciiTheme="majorHAnsi" w:hAnsiTheme="majorHAnsi"/>
          <w:sz w:val="24"/>
          <w:szCs w:val="24"/>
        </w:rPr>
        <w:t>-</w:t>
      </w:r>
      <w:r w:rsidR="00CC2885">
        <w:rPr>
          <w:rFonts w:asciiTheme="majorHAnsi" w:hAnsiTheme="majorHAnsi"/>
          <w:sz w:val="24"/>
          <w:szCs w:val="24"/>
        </w:rPr>
        <w:t xml:space="preserve"> </w:t>
      </w:r>
      <w:r w:rsidRPr="00A05DC2">
        <w:rPr>
          <w:rFonts w:asciiTheme="majorHAnsi" w:hAnsiTheme="majorHAnsi"/>
          <w:sz w:val="24"/>
          <w:szCs w:val="24"/>
        </w:rPr>
        <w:t xml:space="preserve">в январе-феврале 2013 года). Полностью убыточной была деятельность предприятий воздушного транспорта </w:t>
      </w:r>
      <w:r w:rsidR="00CC2885">
        <w:rPr>
          <w:rFonts w:asciiTheme="majorHAnsi" w:hAnsiTheme="majorHAnsi"/>
          <w:sz w:val="24"/>
          <w:szCs w:val="24"/>
        </w:rPr>
        <w:t>–</w:t>
      </w:r>
      <w:r w:rsidRPr="00A05DC2">
        <w:rPr>
          <w:rFonts w:asciiTheme="majorHAnsi" w:hAnsiTheme="majorHAnsi"/>
          <w:sz w:val="24"/>
          <w:szCs w:val="24"/>
        </w:rPr>
        <w:t xml:space="preserve"> все</w:t>
      </w:r>
      <w:r w:rsidR="00CC2885">
        <w:rPr>
          <w:rFonts w:asciiTheme="majorHAnsi" w:hAnsiTheme="majorHAnsi"/>
          <w:sz w:val="24"/>
          <w:szCs w:val="24"/>
        </w:rPr>
        <w:t xml:space="preserve"> </w:t>
      </w:r>
      <w:r w:rsidRPr="00A05DC2">
        <w:rPr>
          <w:rFonts w:asciiTheme="majorHAnsi" w:hAnsiTheme="majorHAnsi"/>
          <w:sz w:val="24"/>
          <w:szCs w:val="24"/>
        </w:rPr>
        <w:t>три организации данного подвида деятельности (входит в транспортную отрасль) показали чистые убытки в январе-феврале 2014 года.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Рыболовство и рыбоводство остается единственным видом деятельности, показавшим чистые убытки. Данная отрасль была убыточной и в январе-феврале 2013 года. Чистые убытки относительно 2013 года выросли в 6 раз и составили </w:t>
      </w:r>
      <w:r w:rsidRPr="00A05DC2">
        <w:rPr>
          <w:rFonts w:asciiTheme="majorHAnsi" w:hAnsiTheme="majorHAnsi"/>
          <w:sz w:val="24"/>
          <w:szCs w:val="24"/>
          <w:lang w:val="en-US"/>
        </w:rPr>
        <w:t>BYR</w:t>
      </w:r>
      <w:r w:rsidRPr="00A05DC2">
        <w:rPr>
          <w:rFonts w:asciiTheme="majorHAnsi" w:hAnsiTheme="majorHAnsi"/>
          <w:sz w:val="24"/>
          <w:szCs w:val="24"/>
        </w:rPr>
        <w:t xml:space="preserve"> 15,0 млрд. 14 из 19 организаций отрасли убыточны. Прибыльные организации отрасли являются таковыми номинально - чистая прибыль прибыльных предприятий составила по итогам января-февраля 2014 года </w:t>
      </w:r>
      <w:r w:rsidRPr="00A05DC2">
        <w:rPr>
          <w:rFonts w:asciiTheme="majorHAnsi" w:hAnsiTheme="majorHAnsi"/>
          <w:sz w:val="24"/>
          <w:szCs w:val="24"/>
          <w:lang w:val="en-US"/>
        </w:rPr>
        <w:t>BYR</w:t>
      </w:r>
      <w:r w:rsidRPr="00A05DC2">
        <w:rPr>
          <w:rFonts w:asciiTheme="majorHAnsi" w:hAnsiTheme="majorHAnsi"/>
          <w:sz w:val="24"/>
          <w:szCs w:val="24"/>
        </w:rPr>
        <w:t xml:space="preserve"> 6 млн.</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Выросла чистая прибыль в образовании, строительстве, финансовой деятельности, у предприятий связи и транспортных организаций. Наибольший прирост в абсолютном и относительном выражении</w:t>
      </w:r>
      <w:r w:rsidR="00CC2885">
        <w:rPr>
          <w:rFonts w:asciiTheme="majorHAnsi" w:hAnsiTheme="majorHAnsi"/>
          <w:sz w:val="24"/>
          <w:szCs w:val="24"/>
        </w:rPr>
        <w:t xml:space="preserve"> – </w:t>
      </w:r>
      <w:r w:rsidRPr="00A05DC2">
        <w:rPr>
          <w:rFonts w:asciiTheme="majorHAnsi" w:hAnsiTheme="majorHAnsi"/>
          <w:sz w:val="24"/>
          <w:szCs w:val="24"/>
        </w:rPr>
        <w:t>у</w:t>
      </w:r>
      <w:r w:rsidR="00CC2885">
        <w:rPr>
          <w:rFonts w:asciiTheme="majorHAnsi" w:hAnsiTheme="majorHAnsi"/>
          <w:sz w:val="24"/>
          <w:szCs w:val="24"/>
        </w:rPr>
        <w:t xml:space="preserve"> </w:t>
      </w:r>
      <w:r w:rsidRPr="00A05DC2">
        <w:rPr>
          <w:rFonts w:asciiTheme="majorHAnsi" w:hAnsiTheme="majorHAnsi"/>
          <w:sz w:val="24"/>
          <w:szCs w:val="24"/>
        </w:rPr>
        <w:t xml:space="preserve">транспортных организаций. Чистая прибыль данного вида деятельности выросла в 1,9 раза – с </w:t>
      </w:r>
      <w:r w:rsidRPr="00A05DC2">
        <w:rPr>
          <w:rFonts w:asciiTheme="majorHAnsi" w:hAnsiTheme="majorHAnsi"/>
          <w:sz w:val="24"/>
          <w:szCs w:val="24"/>
          <w:lang w:val="en-US"/>
        </w:rPr>
        <w:t>BYR</w:t>
      </w:r>
      <w:r w:rsidRPr="00A05DC2">
        <w:rPr>
          <w:rFonts w:asciiTheme="majorHAnsi" w:hAnsiTheme="majorHAnsi"/>
          <w:sz w:val="24"/>
          <w:szCs w:val="24"/>
        </w:rPr>
        <w:t xml:space="preserve"> 357,3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(январь-февраль 2013 г.) до </w:t>
      </w:r>
      <w:r w:rsidRPr="00A05DC2">
        <w:rPr>
          <w:rFonts w:asciiTheme="majorHAnsi" w:hAnsiTheme="majorHAnsi"/>
          <w:sz w:val="24"/>
          <w:szCs w:val="24"/>
          <w:lang w:val="en-US"/>
        </w:rPr>
        <w:t>BYR</w:t>
      </w:r>
      <w:r w:rsidRPr="00A05DC2">
        <w:rPr>
          <w:rFonts w:asciiTheme="majorHAnsi" w:hAnsiTheme="majorHAnsi"/>
          <w:sz w:val="24"/>
          <w:szCs w:val="24"/>
        </w:rPr>
        <w:t xml:space="preserve"> 680,3 млрд. Основной причиной стал рост прибыли предприятий занятых в сфере сухопутного транспорта (трубопроводный транспорт).</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остальных видах деятельности отмечено снижение чистой прибыли. Наибольшее снижение чистой прибыли отмечено в промышленности. Чистая прибыль промышленных предприятий в январе-феврале 2014 года составила </w:t>
      </w:r>
      <w:r w:rsidRPr="00A05DC2">
        <w:rPr>
          <w:rFonts w:asciiTheme="majorHAnsi" w:hAnsiTheme="majorHAnsi"/>
          <w:sz w:val="24"/>
          <w:szCs w:val="24"/>
          <w:lang w:val="en-US"/>
        </w:rPr>
        <w:t>BYR</w:t>
      </w:r>
      <w:r w:rsidRPr="00A05DC2">
        <w:rPr>
          <w:rFonts w:asciiTheme="majorHAnsi" w:hAnsiTheme="majorHAnsi"/>
          <w:sz w:val="24"/>
          <w:szCs w:val="24"/>
        </w:rPr>
        <w:t xml:space="preserve"> 1 785,2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что на </w:t>
      </w:r>
      <w:r w:rsidRPr="00A05DC2">
        <w:rPr>
          <w:rFonts w:asciiTheme="majorHAnsi" w:hAnsiTheme="majorHAnsi"/>
          <w:sz w:val="24"/>
          <w:szCs w:val="24"/>
          <w:lang w:val="en-US"/>
        </w:rPr>
        <w:t>BYR</w:t>
      </w:r>
      <w:r w:rsidRPr="00A05DC2">
        <w:rPr>
          <w:rFonts w:asciiTheme="majorHAnsi" w:hAnsiTheme="majorHAnsi"/>
          <w:sz w:val="24"/>
          <w:szCs w:val="24"/>
        </w:rPr>
        <w:t xml:space="preserve"> 2 423,4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меньше, чем в январе-феврале 2013 года. Число убыточных промышленных предприятий по сравнению с январем-февралем 2013 года выросло на 65,1 % или на 220 организаций и составило 558 единицы, а чистые убытки убыточных организаций выросли в 2,2 раза или на </w:t>
      </w:r>
      <w:r w:rsidRPr="00A05DC2">
        <w:rPr>
          <w:rFonts w:asciiTheme="majorHAnsi" w:hAnsiTheme="majorHAnsi"/>
          <w:sz w:val="24"/>
          <w:szCs w:val="24"/>
          <w:lang w:val="en-US"/>
        </w:rPr>
        <w:t>BYR</w:t>
      </w:r>
      <w:r w:rsidRPr="00A05DC2">
        <w:rPr>
          <w:rFonts w:asciiTheme="majorHAnsi" w:hAnsiTheme="majorHAnsi"/>
          <w:sz w:val="24"/>
          <w:szCs w:val="24"/>
        </w:rPr>
        <w:t xml:space="preserve"> 1 304,0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2 406,9 млрд. Убыточными в промышленности являются 29,1% предприятий, отчитывающихся на регулярной основе. </w:t>
      </w:r>
    </w:p>
    <w:p w:rsidR="00A05DC2" w:rsidRPr="00A05DC2" w:rsidRDefault="00A05DC2" w:rsidP="00C11730">
      <w:pPr>
        <w:tabs>
          <w:tab w:val="left" w:pos="10773"/>
        </w:tabs>
        <w:ind w:right="281"/>
        <w:jc w:val="both"/>
        <w:rPr>
          <w:rFonts w:asciiTheme="majorHAnsi" w:hAnsiTheme="majorHAnsi"/>
          <w:sz w:val="24"/>
          <w:szCs w:val="24"/>
        </w:rPr>
      </w:pPr>
      <w:r w:rsidRPr="00CC2885">
        <w:rPr>
          <w:rFonts w:asciiTheme="majorHAnsi" w:hAnsiTheme="majorHAnsi"/>
          <w:b/>
          <w:sz w:val="24"/>
          <w:szCs w:val="24"/>
        </w:rPr>
        <w:t xml:space="preserve">В региональном </w:t>
      </w:r>
      <w:proofErr w:type="gramStart"/>
      <w:r w:rsidRPr="00CC2885">
        <w:rPr>
          <w:rFonts w:asciiTheme="majorHAnsi" w:hAnsiTheme="majorHAnsi"/>
          <w:b/>
          <w:sz w:val="24"/>
          <w:szCs w:val="24"/>
        </w:rPr>
        <w:t>разрезе</w:t>
      </w:r>
      <w:proofErr w:type="gramEnd"/>
      <w:r w:rsidRPr="00A05DC2">
        <w:rPr>
          <w:rFonts w:asciiTheme="majorHAnsi" w:hAnsiTheme="majorHAnsi"/>
          <w:sz w:val="24"/>
          <w:szCs w:val="24"/>
        </w:rPr>
        <w:t xml:space="preserve"> во всех областях и Минске отмечено снижение чистой прибыли. Могилевская область второй месяц подряд демонстрирует чистые убытки, размер которых увеличился по итогам января-февраля 2014 года до  </w:t>
      </w:r>
      <w:r w:rsidRPr="00A05DC2">
        <w:rPr>
          <w:rFonts w:asciiTheme="majorHAnsi" w:hAnsiTheme="majorHAnsi"/>
          <w:sz w:val="24"/>
          <w:szCs w:val="24"/>
          <w:lang w:val="en-US"/>
        </w:rPr>
        <w:t>BYR</w:t>
      </w:r>
      <w:r w:rsidRPr="00A05DC2">
        <w:rPr>
          <w:rFonts w:asciiTheme="majorHAnsi" w:hAnsiTheme="majorHAnsi"/>
          <w:sz w:val="24"/>
          <w:szCs w:val="24"/>
        </w:rPr>
        <w:t xml:space="preserve"> 126,5 млрд. Результаты области в феврале определили убытки предприятий Бобруйска, Кричевского цементного завода, Белорусского цементного завода (Костюковичи), предприятий </w:t>
      </w:r>
      <w:proofErr w:type="spellStart"/>
      <w:r w:rsidRPr="00A05DC2">
        <w:rPr>
          <w:rFonts w:asciiTheme="majorHAnsi" w:hAnsiTheme="majorHAnsi"/>
          <w:sz w:val="24"/>
          <w:szCs w:val="24"/>
        </w:rPr>
        <w:t>Осиповичского</w:t>
      </w:r>
      <w:proofErr w:type="spellEnd"/>
      <w:r w:rsidRPr="00A05DC2">
        <w:rPr>
          <w:rFonts w:asciiTheme="majorHAnsi" w:hAnsiTheme="majorHAnsi"/>
          <w:sz w:val="24"/>
          <w:szCs w:val="24"/>
        </w:rPr>
        <w:t xml:space="preserve"> и Могилевского районов.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Наименьшее отставание по абсолютному показателю чистой прибыли</w:t>
      </w:r>
      <w:r w:rsidR="00CC2885">
        <w:rPr>
          <w:rFonts w:asciiTheme="majorHAnsi" w:hAnsiTheme="majorHAnsi"/>
          <w:sz w:val="24"/>
          <w:szCs w:val="24"/>
        </w:rPr>
        <w:t xml:space="preserve"> –</w:t>
      </w:r>
      <w:r w:rsidRPr="00A05DC2">
        <w:rPr>
          <w:rFonts w:asciiTheme="majorHAnsi" w:hAnsiTheme="majorHAnsi"/>
          <w:sz w:val="24"/>
          <w:szCs w:val="24"/>
        </w:rPr>
        <w:t xml:space="preserve"> у</w:t>
      </w:r>
      <w:r w:rsidR="00CC2885">
        <w:rPr>
          <w:rFonts w:asciiTheme="majorHAnsi" w:hAnsiTheme="majorHAnsi"/>
          <w:sz w:val="24"/>
          <w:szCs w:val="24"/>
        </w:rPr>
        <w:t xml:space="preserve"> </w:t>
      </w:r>
      <w:r w:rsidRPr="00A05DC2">
        <w:rPr>
          <w:rFonts w:asciiTheme="majorHAnsi" w:hAnsiTheme="majorHAnsi"/>
          <w:sz w:val="24"/>
          <w:szCs w:val="24"/>
        </w:rPr>
        <w:t xml:space="preserve">Гродненской области. Предприятия региона заработали </w:t>
      </w:r>
      <w:r w:rsidRPr="00A05DC2">
        <w:rPr>
          <w:rFonts w:asciiTheme="majorHAnsi" w:hAnsiTheme="majorHAnsi"/>
          <w:sz w:val="24"/>
          <w:szCs w:val="24"/>
          <w:lang w:val="en-US"/>
        </w:rPr>
        <w:t>BYR</w:t>
      </w:r>
      <w:r w:rsidRPr="00A05DC2">
        <w:rPr>
          <w:rFonts w:asciiTheme="majorHAnsi" w:hAnsiTheme="majorHAnsi"/>
          <w:sz w:val="24"/>
          <w:szCs w:val="24"/>
        </w:rPr>
        <w:t xml:space="preserve"> 625,3 млрд. В январе-феврале 2013 года данный показатель составлял </w:t>
      </w:r>
      <w:r w:rsidRPr="00A05DC2">
        <w:rPr>
          <w:rFonts w:asciiTheme="majorHAnsi" w:hAnsiTheme="majorHAnsi"/>
          <w:sz w:val="24"/>
          <w:szCs w:val="24"/>
          <w:lang w:val="en-US"/>
        </w:rPr>
        <w:t>BYR</w:t>
      </w:r>
      <w:r w:rsidRPr="00A05DC2">
        <w:rPr>
          <w:rFonts w:asciiTheme="majorHAnsi" w:hAnsiTheme="majorHAnsi"/>
          <w:sz w:val="24"/>
          <w:szCs w:val="24"/>
        </w:rPr>
        <w:t xml:space="preserve"> 811,3 </w:t>
      </w:r>
      <w:proofErr w:type="spellStart"/>
      <w:proofErr w:type="gramStart"/>
      <w:r w:rsidRPr="00A05DC2">
        <w:rPr>
          <w:rFonts w:asciiTheme="majorHAnsi" w:hAnsiTheme="majorHAnsi"/>
          <w:sz w:val="24"/>
          <w:szCs w:val="24"/>
        </w:rPr>
        <w:t>млрд</w:t>
      </w:r>
      <w:proofErr w:type="spellEnd"/>
      <w:proofErr w:type="gramEnd"/>
      <w:r w:rsidR="00CC2885">
        <w:rPr>
          <w:rFonts w:asciiTheme="majorHAnsi" w:hAnsiTheme="majorHAnsi"/>
          <w:sz w:val="24"/>
          <w:szCs w:val="24"/>
        </w:rPr>
        <w:t>,</w:t>
      </w:r>
      <w:r w:rsidRPr="00A05DC2">
        <w:rPr>
          <w:rFonts w:asciiTheme="majorHAnsi" w:hAnsiTheme="majorHAnsi"/>
          <w:sz w:val="24"/>
          <w:szCs w:val="24"/>
        </w:rPr>
        <w:t xml:space="preserve"> или на </w:t>
      </w:r>
      <w:r w:rsidRPr="00A05DC2">
        <w:rPr>
          <w:rFonts w:asciiTheme="majorHAnsi" w:hAnsiTheme="majorHAnsi"/>
          <w:sz w:val="24"/>
          <w:szCs w:val="24"/>
          <w:lang w:val="en-US"/>
        </w:rPr>
        <w:t>BYR</w:t>
      </w:r>
      <w:r w:rsidRPr="00A05DC2">
        <w:rPr>
          <w:rFonts w:asciiTheme="majorHAnsi" w:hAnsiTheme="majorHAnsi"/>
          <w:sz w:val="24"/>
          <w:szCs w:val="24"/>
        </w:rPr>
        <w:t xml:space="preserve"> 186,0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больше.</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территориальном </w:t>
      </w:r>
      <w:proofErr w:type="gramStart"/>
      <w:r w:rsidRPr="00A05DC2">
        <w:rPr>
          <w:rFonts w:asciiTheme="majorHAnsi" w:hAnsiTheme="majorHAnsi"/>
          <w:sz w:val="24"/>
          <w:szCs w:val="24"/>
        </w:rPr>
        <w:t>разрезе</w:t>
      </w:r>
      <w:proofErr w:type="gramEnd"/>
      <w:r w:rsidRPr="00A05DC2">
        <w:rPr>
          <w:rFonts w:asciiTheme="majorHAnsi" w:hAnsiTheme="majorHAnsi"/>
          <w:sz w:val="24"/>
          <w:szCs w:val="24"/>
        </w:rPr>
        <w:t xml:space="preserve"> во всех областях есть районы с чистым убытком по итогам января-февраля 2014 года. 36 городов и территорий сработали с убытком (в январе-феврале 2013 года таких территорий было 13). Наибольший убыток среди убыточных регионов и городов </w:t>
      </w:r>
      <w:r w:rsidRPr="00A05DC2">
        <w:rPr>
          <w:rFonts w:asciiTheme="majorHAnsi" w:hAnsiTheme="majorHAnsi"/>
          <w:sz w:val="24"/>
          <w:szCs w:val="24"/>
        </w:rPr>
        <w:lastRenderedPageBreak/>
        <w:t xml:space="preserve">получен в Жодино и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180,2 млрд. Годом ранее предприятия города сработали с прибылью в размере </w:t>
      </w:r>
      <w:r w:rsidRPr="00A05DC2">
        <w:rPr>
          <w:rFonts w:asciiTheme="majorHAnsi" w:hAnsiTheme="majorHAnsi"/>
          <w:sz w:val="24"/>
          <w:szCs w:val="24"/>
          <w:lang w:val="en-US"/>
        </w:rPr>
        <w:t>BYR</w:t>
      </w:r>
      <w:r w:rsidRPr="00A05DC2">
        <w:rPr>
          <w:rFonts w:asciiTheme="majorHAnsi" w:hAnsiTheme="majorHAnsi"/>
          <w:sz w:val="24"/>
          <w:szCs w:val="24"/>
        </w:rPr>
        <w:t xml:space="preserve"> 94,0 млрд. Основные финансовые показатели города формирует </w:t>
      </w:r>
      <w:proofErr w:type="spellStart"/>
      <w:r w:rsidRPr="00A05DC2">
        <w:rPr>
          <w:rFonts w:asciiTheme="majorHAnsi" w:hAnsiTheme="majorHAnsi"/>
          <w:sz w:val="24"/>
          <w:szCs w:val="24"/>
        </w:rPr>
        <w:t>БелАЗ</w:t>
      </w:r>
      <w:proofErr w:type="spellEnd"/>
      <w:r w:rsidRPr="00A05DC2">
        <w:rPr>
          <w:rFonts w:asciiTheme="majorHAnsi" w:hAnsiTheme="majorHAnsi"/>
          <w:sz w:val="24"/>
          <w:szCs w:val="24"/>
        </w:rPr>
        <w:t xml:space="preserve">.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Наибольший объем чистой прибыли заработали предприятия Минска –</w:t>
      </w:r>
      <w:r w:rsidR="00CC2885">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1 702,5 млрд. В январе-феврале 2013 года данный показатель в столице 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2 765,0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(снижение на </w:t>
      </w:r>
      <w:r w:rsidRPr="00A05DC2">
        <w:rPr>
          <w:rFonts w:asciiTheme="majorHAnsi" w:hAnsiTheme="majorHAnsi"/>
          <w:sz w:val="24"/>
          <w:szCs w:val="24"/>
          <w:lang w:val="en-US"/>
        </w:rPr>
        <w:t>BYR</w:t>
      </w:r>
      <w:r w:rsidRPr="00A05DC2">
        <w:rPr>
          <w:rFonts w:asciiTheme="majorHAnsi" w:hAnsiTheme="majorHAnsi"/>
          <w:sz w:val="24"/>
          <w:szCs w:val="24"/>
        </w:rPr>
        <w:t xml:space="preserve"> 1 062,5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w:t>
      </w:r>
      <w:r w:rsidR="00CC2885">
        <w:rPr>
          <w:rFonts w:asciiTheme="majorHAnsi" w:hAnsiTheme="majorHAnsi"/>
          <w:sz w:val="24"/>
          <w:szCs w:val="24"/>
        </w:rPr>
        <w:t>.</w:t>
      </w:r>
    </w:p>
    <w:p w:rsidR="00CC2885"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Улучшение по показателю чистой прибыли (январь-февраль 2014 года к январю-февралю 2013 года) отмечено в 34 районах и городах. Наибольшее увеличение отмечено </w:t>
      </w:r>
      <w:proofErr w:type="gramStart"/>
      <w:r w:rsidRPr="00A05DC2">
        <w:rPr>
          <w:rFonts w:asciiTheme="majorHAnsi" w:hAnsiTheme="majorHAnsi"/>
          <w:sz w:val="24"/>
          <w:szCs w:val="24"/>
        </w:rPr>
        <w:t>в</w:t>
      </w:r>
      <w:proofErr w:type="gramEnd"/>
      <w:r w:rsidRPr="00A05DC2">
        <w:rPr>
          <w:rFonts w:asciiTheme="majorHAnsi" w:hAnsiTheme="majorHAnsi"/>
          <w:sz w:val="24"/>
          <w:szCs w:val="24"/>
        </w:rPr>
        <w:t xml:space="preserve"> </w:t>
      </w:r>
      <w:proofErr w:type="gramStart"/>
      <w:r w:rsidRPr="00A05DC2">
        <w:rPr>
          <w:rFonts w:asciiTheme="majorHAnsi" w:hAnsiTheme="majorHAnsi"/>
          <w:sz w:val="24"/>
          <w:szCs w:val="24"/>
        </w:rPr>
        <w:t>Солигорском</w:t>
      </w:r>
      <w:proofErr w:type="gramEnd"/>
      <w:r w:rsidRPr="00A05DC2">
        <w:rPr>
          <w:rFonts w:asciiTheme="majorHAnsi" w:hAnsiTheme="majorHAnsi"/>
          <w:sz w:val="24"/>
          <w:szCs w:val="24"/>
        </w:rPr>
        <w:t xml:space="preserve"> районе. В январе-феврале 2013 года район сработал с прибылью в размере </w:t>
      </w:r>
      <w:r w:rsidRPr="00A05DC2">
        <w:rPr>
          <w:rFonts w:asciiTheme="majorHAnsi" w:hAnsiTheme="majorHAnsi"/>
          <w:sz w:val="24"/>
          <w:szCs w:val="24"/>
          <w:lang w:val="en-US"/>
        </w:rPr>
        <w:t>BYR</w:t>
      </w:r>
      <w:r w:rsidRPr="00A05DC2">
        <w:rPr>
          <w:rFonts w:asciiTheme="majorHAnsi" w:hAnsiTheme="majorHAnsi"/>
          <w:sz w:val="24"/>
          <w:szCs w:val="24"/>
        </w:rPr>
        <w:t xml:space="preserve"> 182,5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в январе-феврале 2014 года прибыль района составила </w:t>
      </w:r>
      <w:r w:rsidRPr="00A05DC2">
        <w:rPr>
          <w:rFonts w:asciiTheme="majorHAnsi" w:hAnsiTheme="majorHAnsi"/>
          <w:sz w:val="24"/>
          <w:szCs w:val="24"/>
          <w:lang w:val="en-US"/>
        </w:rPr>
        <w:t>BYR</w:t>
      </w:r>
      <w:r w:rsidRPr="00A05DC2">
        <w:rPr>
          <w:rFonts w:asciiTheme="majorHAnsi" w:hAnsiTheme="majorHAnsi"/>
          <w:sz w:val="24"/>
          <w:szCs w:val="24"/>
        </w:rPr>
        <w:t xml:space="preserve"> 722,4 млрд.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Основными причинами ухудшения финансовых результатов экономики стали: падение цен на основные экспортируемые товары, девальвация национальных валют в основных странах - экономических партнер</w:t>
      </w:r>
      <w:r w:rsidR="00CC2885">
        <w:rPr>
          <w:rFonts w:asciiTheme="majorHAnsi" w:hAnsiTheme="majorHAnsi"/>
          <w:sz w:val="24"/>
          <w:szCs w:val="24"/>
        </w:rPr>
        <w:t>ах</w:t>
      </w:r>
      <w:r w:rsidRPr="00A05DC2">
        <w:rPr>
          <w:rFonts w:asciiTheme="majorHAnsi" w:hAnsiTheme="majorHAnsi"/>
          <w:sz w:val="24"/>
          <w:szCs w:val="24"/>
        </w:rPr>
        <w:t xml:space="preserve"> Беларуси, высокие процентные ставки по кредитам, значительные объемы неплатежей в экономике, высокий уровень складских запасов, узкий круг основных экспортируемых товаров.</w:t>
      </w:r>
    </w:p>
    <w:p w:rsidR="00A05DC2" w:rsidRPr="00CC2885" w:rsidRDefault="00A05DC2" w:rsidP="00C11730">
      <w:pPr>
        <w:tabs>
          <w:tab w:val="left" w:pos="10773"/>
        </w:tabs>
        <w:ind w:right="281"/>
        <w:jc w:val="both"/>
        <w:rPr>
          <w:rFonts w:asciiTheme="majorHAnsi" w:hAnsiTheme="majorHAnsi" w:cs="Calibri"/>
          <w:b/>
          <w:sz w:val="24"/>
          <w:szCs w:val="24"/>
        </w:rPr>
      </w:pPr>
      <w:r w:rsidRPr="00CC2885">
        <w:rPr>
          <w:rFonts w:asciiTheme="majorHAnsi" w:hAnsiTheme="majorHAnsi" w:cs="Calibri"/>
          <w:b/>
          <w:sz w:val="24"/>
          <w:szCs w:val="24"/>
        </w:rPr>
        <w:t>5. Кредиторская/дебиторская задолженность</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После сокращения задолженности в экономике в результате зачетов, в феврале ситуация с расчетами вернулась в русло постепенного увеличения объемов кредиторской и дебиторской задолженности (без учета корректировочных операций)</w:t>
      </w:r>
      <w:r w:rsidR="00CC2885">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B5237F">
        <w:rPr>
          <w:rFonts w:asciiTheme="majorHAnsi" w:hAnsiTheme="majorHAnsi" w:cs="Calibri"/>
          <w:b/>
          <w:sz w:val="24"/>
          <w:szCs w:val="24"/>
        </w:rPr>
        <w:t>Кредиторская задолженность</w:t>
      </w:r>
      <w:r w:rsidRPr="00A05DC2">
        <w:rPr>
          <w:rFonts w:asciiTheme="majorHAnsi" w:hAnsiTheme="majorHAnsi" w:cs="Calibri"/>
          <w:sz w:val="24"/>
          <w:szCs w:val="24"/>
        </w:rPr>
        <w:t xml:space="preserve"> снизилась в феврале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0,6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и составила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238,1 трлн.</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Внешняя кредиторская задолженность в феврале снизилась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5,9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53,6 трлн. Основной объем снижения связан с дирекцией строящейся Белорусской АЭС в </w:t>
      </w:r>
      <w:proofErr w:type="spellStart"/>
      <w:r w:rsidRPr="00A05DC2">
        <w:rPr>
          <w:rFonts w:asciiTheme="majorHAnsi" w:hAnsiTheme="majorHAnsi" w:cs="Calibri"/>
          <w:sz w:val="24"/>
          <w:szCs w:val="24"/>
        </w:rPr>
        <w:t>Островецком</w:t>
      </w:r>
      <w:proofErr w:type="spellEnd"/>
      <w:r w:rsidRPr="00A05DC2">
        <w:rPr>
          <w:rFonts w:asciiTheme="majorHAnsi" w:hAnsiTheme="majorHAnsi" w:cs="Calibri"/>
          <w:sz w:val="24"/>
          <w:szCs w:val="24"/>
        </w:rPr>
        <w:t xml:space="preserve"> районе Гродненской области. Внешняя кредиторская задолженность данного предприятия была переведена в раздел задолженности по кредитам и займам, что привело к снижению кредиторской задолженности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5,7 трлн. Без учета данной операции внешняя кредиторская задолженность сократилась только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0,2 трлн.  </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Внутриреспубликанская кредиторская задолженность выросла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5,3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184,9 трлн. Наибольший прирост отмечен в промышленности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w:t>
      </w:r>
      <w:r w:rsidR="00B5237F">
        <w:rPr>
          <w:rFonts w:asciiTheme="majorHAnsi" w:hAnsiTheme="majorHAnsi" w:cs="Calibri"/>
          <w:sz w:val="24"/>
          <w:szCs w:val="24"/>
        </w:rPr>
        <w:t>,</w:t>
      </w:r>
      <w:r w:rsidRPr="00A05DC2">
        <w:rPr>
          <w:rFonts w:asciiTheme="majorHAnsi" w:hAnsiTheme="majorHAnsi" w:cs="Calibri"/>
          <w:sz w:val="24"/>
          <w:szCs w:val="24"/>
        </w:rPr>
        <w:t xml:space="preserve">5 </w:t>
      </w:r>
      <w:proofErr w:type="spellStart"/>
      <w:r w:rsidRPr="00A05DC2">
        <w:rPr>
          <w:rFonts w:asciiTheme="majorHAnsi" w:hAnsiTheme="majorHAnsi" w:cs="Calibri"/>
          <w:sz w:val="24"/>
          <w:szCs w:val="24"/>
        </w:rPr>
        <w:t>трлн</w:t>
      </w:r>
      <w:proofErr w:type="spellEnd"/>
      <w:r w:rsidRPr="00A05DC2">
        <w:rPr>
          <w:rFonts w:asciiTheme="majorHAnsi" w:hAnsiTheme="majorHAnsi" w:cs="Calibri"/>
          <w:sz w:val="24"/>
          <w:szCs w:val="24"/>
        </w:rPr>
        <w:t xml:space="preserve">), операциях с недвижимым имуществом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1,1 </w:t>
      </w:r>
      <w:proofErr w:type="spellStart"/>
      <w:r w:rsidRPr="00A05DC2">
        <w:rPr>
          <w:rFonts w:asciiTheme="majorHAnsi" w:hAnsiTheme="majorHAnsi" w:cs="Calibri"/>
          <w:sz w:val="24"/>
          <w:szCs w:val="24"/>
        </w:rPr>
        <w:t>трлн</w:t>
      </w:r>
      <w:proofErr w:type="spellEnd"/>
      <w:r w:rsidRPr="00A05DC2">
        <w:rPr>
          <w:rFonts w:asciiTheme="majorHAnsi" w:hAnsiTheme="majorHAnsi" w:cs="Calibri"/>
          <w:sz w:val="24"/>
          <w:szCs w:val="24"/>
        </w:rPr>
        <w:t>)</w:t>
      </w:r>
      <w:r w:rsidR="00B5237F">
        <w:rPr>
          <w:rFonts w:asciiTheme="majorHAnsi" w:hAnsiTheme="majorHAnsi" w:cs="Calibri"/>
          <w:sz w:val="24"/>
          <w:szCs w:val="24"/>
        </w:rPr>
        <w:t>,</w:t>
      </w:r>
      <w:r w:rsidRPr="00A05DC2">
        <w:rPr>
          <w:rFonts w:asciiTheme="majorHAnsi" w:hAnsiTheme="majorHAnsi" w:cs="Calibri"/>
          <w:sz w:val="24"/>
          <w:szCs w:val="24"/>
        </w:rPr>
        <w:t xml:space="preserve"> оптовой и розничной торговле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0,7 </w:t>
      </w:r>
      <w:proofErr w:type="spellStart"/>
      <w:r w:rsidRPr="00A05DC2">
        <w:rPr>
          <w:rFonts w:asciiTheme="majorHAnsi" w:hAnsiTheme="majorHAnsi" w:cs="Calibri"/>
          <w:sz w:val="24"/>
          <w:szCs w:val="24"/>
        </w:rPr>
        <w:t>трлн</w:t>
      </w:r>
      <w:proofErr w:type="spellEnd"/>
      <w:r w:rsidRPr="00A05DC2">
        <w:rPr>
          <w:rFonts w:asciiTheme="majorHAnsi" w:hAnsiTheme="majorHAnsi" w:cs="Calibri"/>
          <w:sz w:val="24"/>
          <w:szCs w:val="24"/>
        </w:rPr>
        <w:t xml:space="preserve">), строительстве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0,6 </w:t>
      </w:r>
      <w:proofErr w:type="spellStart"/>
      <w:r w:rsidRPr="00A05DC2">
        <w:rPr>
          <w:rFonts w:asciiTheme="majorHAnsi" w:hAnsiTheme="majorHAnsi" w:cs="Calibri"/>
          <w:sz w:val="24"/>
          <w:szCs w:val="24"/>
        </w:rPr>
        <w:t>трлн</w:t>
      </w:r>
      <w:proofErr w:type="spellEnd"/>
      <w:r w:rsidRPr="00A05DC2">
        <w:rPr>
          <w:rFonts w:asciiTheme="majorHAnsi" w:hAnsiTheme="majorHAnsi" w:cs="Calibri"/>
          <w:sz w:val="24"/>
          <w:szCs w:val="24"/>
        </w:rPr>
        <w:t xml:space="preserve">). Наибольшее снижение отмечено в сфере гостиничного и ресторанного бизнеса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0,2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Задолженность за топливно-энергетические ресурсы (ТЭР) сократилась в феврале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1,3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19,1 трлн. Сокращение обеспечено предприятиями электроэнергетики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662,1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 xml:space="preserve">), нефтепереработки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266,5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 xml:space="preserve">) и организациями в сфере трубопроводного транспорта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527,5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Задолженность по налогам и сборам, социальному страхованию и обеспечению увеличилась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1,7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17,4 трлн. Основной прирост обеспечили промышленные предприятия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814,5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w:t>
      </w:r>
      <w:r w:rsidR="00B5237F">
        <w:rPr>
          <w:rFonts w:asciiTheme="majorHAnsi" w:hAnsiTheme="majorHAnsi" w:cs="Calibri"/>
          <w:sz w:val="24"/>
          <w:szCs w:val="24"/>
        </w:rPr>
        <w:t>,</w:t>
      </w:r>
      <w:r w:rsidRPr="00A05DC2">
        <w:rPr>
          <w:rFonts w:asciiTheme="majorHAnsi" w:hAnsiTheme="majorHAnsi" w:cs="Calibri"/>
          <w:sz w:val="24"/>
          <w:szCs w:val="24"/>
        </w:rPr>
        <w:t xml:space="preserve"> финансовая деятельность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195,4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 xml:space="preserve">) и строительство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188,6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 В промышленности основной прирост обеспечили пищевая промышленность и электроэнергетика.</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lastRenderedPageBreak/>
        <w:t xml:space="preserve">В региональном </w:t>
      </w:r>
      <w:proofErr w:type="gramStart"/>
      <w:r w:rsidRPr="00A05DC2">
        <w:rPr>
          <w:rFonts w:asciiTheme="majorHAnsi" w:hAnsiTheme="majorHAnsi" w:cs="Calibri"/>
          <w:sz w:val="24"/>
          <w:szCs w:val="24"/>
        </w:rPr>
        <w:t>разрезе</w:t>
      </w:r>
      <w:proofErr w:type="gramEnd"/>
      <w:r w:rsidRPr="00A05DC2">
        <w:rPr>
          <w:rFonts w:asciiTheme="majorHAnsi" w:hAnsiTheme="majorHAnsi" w:cs="Calibri"/>
          <w:sz w:val="24"/>
          <w:szCs w:val="24"/>
        </w:rPr>
        <w:t xml:space="preserve"> прирост кредиторской задолженности отмечен во всех областях и Минске за исключением Гродненской области. Прирост кредиторской задолженности Гродненской области связан с Белорусской АЭС.</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Наибольший прирост кредиторской задолженности отмечен в Минске и составил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1,7 трлн. Минск лидирует по объему кредиторской задолженности на 1 марта 2014 года </w:t>
      </w:r>
      <w:r w:rsidR="00B5237F">
        <w:rPr>
          <w:rFonts w:asciiTheme="majorHAnsi" w:hAnsiTheme="majorHAnsi" w:cs="Calibri"/>
          <w:sz w:val="24"/>
          <w:szCs w:val="24"/>
        </w:rPr>
        <w:t>–</w:t>
      </w:r>
      <w:r w:rsidRPr="00A05DC2">
        <w:rPr>
          <w:rFonts w:asciiTheme="majorHAnsi" w:hAnsiTheme="majorHAnsi" w:cs="Calibri"/>
          <w:sz w:val="24"/>
          <w:szCs w:val="24"/>
        </w:rPr>
        <w:t xml:space="preserve"> предприятия</w:t>
      </w:r>
      <w:r w:rsidR="00B5237F">
        <w:rPr>
          <w:rFonts w:asciiTheme="majorHAnsi" w:hAnsiTheme="majorHAnsi" w:cs="Calibri"/>
          <w:sz w:val="24"/>
          <w:szCs w:val="24"/>
        </w:rPr>
        <w:t xml:space="preserve"> </w:t>
      </w:r>
      <w:r w:rsidRPr="00A05DC2">
        <w:rPr>
          <w:rFonts w:asciiTheme="majorHAnsi" w:hAnsiTheme="majorHAnsi" w:cs="Calibri"/>
          <w:sz w:val="24"/>
          <w:szCs w:val="24"/>
        </w:rPr>
        <w:t xml:space="preserve">города должны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83,5 трлн.</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территориальном </w:t>
      </w:r>
      <w:proofErr w:type="gramStart"/>
      <w:r w:rsidRPr="00A05DC2">
        <w:rPr>
          <w:rFonts w:asciiTheme="majorHAnsi" w:hAnsiTheme="majorHAnsi" w:cs="Calibri"/>
          <w:sz w:val="24"/>
          <w:szCs w:val="24"/>
        </w:rPr>
        <w:t>разрезе</w:t>
      </w:r>
      <w:proofErr w:type="gramEnd"/>
      <w:r w:rsidRPr="00A05DC2">
        <w:rPr>
          <w:rFonts w:asciiTheme="majorHAnsi" w:hAnsiTheme="majorHAnsi" w:cs="Calibri"/>
          <w:sz w:val="24"/>
          <w:szCs w:val="24"/>
        </w:rPr>
        <w:t xml:space="preserve"> прирост кредиторской задолженности отмечено в 93 районах и городах, сокращение</w:t>
      </w:r>
      <w:r w:rsidR="00B5237F">
        <w:rPr>
          <w:rFonts w:asciiTheme="majorHAnsi" w:hAnsiTheme="majorHAnsi" w:cs="Calibri"/>
          <w:sz w:val="24"/>
          <w:szCs w:val="24"/>
        </w:rPr>
        <w:t xml:space="preserve"> – </w:t>
      </w:r>
      <w:r w:rsidRPr="00A05DC2">
        <w:rPr>
          <w:rFonts w:asciiTheme="majorHAnsi" w:hAnsiTheme="majorHAnsi" w:cs="Calibri"/>
          <w:sz w:val="24"/>
          <w:szCs w:val="24"/>
        </w:rPr>
        <w:t>в</w:t>
      </w:r>
      <w:r w:rsidR="00B5237F">
        <w:rPr>
          <w:rFonts w:asciiTheme="majorHAnsi" w:hAnsiTheme="majorHAnsi" w:cs="Calibri"/>
          <w:sz w:val="24"/>
          <w:szCs w:val="24"/>
        </w:rPr>
        <w:t xml:space="preserve"> </w:t>
      </w:r>
      <w:r w:rsidRPr="00A05DC2">
        <w:rPr>
          <w:rFonts w:asciiTheme="majorHAnsi" w:hAnsiTheme="majorHAnsi" w:cs="Calibri"/>
          <w:sz w:val="24"/>
          <w:szCs w:val="24"/>
        </w:rPr>
        <w:t>36 районах и городах.</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Просроченная кредиторская задолженность выросла в феврале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0,9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и составила на 1 марта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31,6 трлн. Удельный вес просроченной кредиторской задолженности на 1 марта составил 13,27% от общего объема кредиторской задолженности.</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Внешняя просроченная кредиторская задолженность снизилась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89,7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6,6 трлн. Снижение обеспечено промышленными предприятиями в сфере машиностроения и металлургии.</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Внутриреспубликанская просроченная кредиторская задолженность выросла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953,1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и достигла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25,1 трлн. Основной прирост обеспечен промышленностью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404,8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 xml:space="preserve">) и предприятиями, осуществляющими операции с недвижимым имуществом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195,9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w:t>
      </w:r>
      <w:r w:rsidR="00B5237F">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Просроченная задолженность за топливно-энергетические ресурсы (ТЭР) выросла в феврале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361,1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1 603,5 млрд. Прирост обеспечен  промышленными предприятиями в электроэнергетике и производстве прочих неметаллических минеральных продуктов (цементные заводы)</w:t>
      </w:r>
      <w:r w:rsidR="00B5237F">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Просроченная задолженность по налогам и сборам, социальному страхованию и обеспечению сократилась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30,3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530,7 млрд. Снижение обеспечено предприятиями пищевой промышленности  и производителями машин и оборудования.</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региональном </w:t>
      </w:r>
      <w:proofErr w:type="gramStart"/>
      <w:r w:rsidRPr="00A05DC2">
        <w:rPr>
          <w:rFonts w:asciiTheme="majorHAnsi" w:hAnsiTheme="majorHAnsi" w:cs="Calibri"/>
          <w:sz w:val="24"/>
          <w:szCs w:val="24"/>
        </w:rPr>
        <w:t>разрезе</w:t>
      </w:r>
      <w:proofErr w:type="gramEnd"/>
      <w:r w:rsidRPr="00A05DC2">
        <w:rPr>
          <w:rFonts w:asciiTheme="majorHAnsi" w:hAnsiTheme="majorHAnsi" w:cs="Calibri"/>
          <w:sz w:val="24"/>
          <w:szCs w:val="24"/>
        </w:rPr>
        <w:t xml:space="preserve"> увеличение просроченной кредиторской задолженности отмечено во всех областях и Минске. </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Наибольшее увеличение просроченной кредиторской задолженности отмечено в Минске и составило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179,5 млрд. Наименьший прирост </w:t>
      </w:r>
      <w:r w:rsidR="00B5237F">
        <w:rPr>
          <w:rFonts w:asciiTheme="majorHAnsi" w:hAnsiTheme="majorHAnsi" w:cs="Calibri"/>
          <w:sz w:val="24"/>
          <w:szCs w:val="24"/>
        </w:rPr>
        <w:t>–</w:t>
      </w:r>
      <w:r w:rsidRPr="00A05DC2">
        <w:rPr>
          <w:rFonts w:asciiTheme="majorHAnsi" w:hAnsiTheme="majorHAnsi" w:cs="Calibri"/>
          <w:sz w:val="24"/>
          <w:szCs w:val="24"/>
        </w:rPr>
        <w:t xml:space="preserve"> в</w:t>
      </w:r>
      <w:r w:rsidR="00B5237F">
        <w:rPr>
          <w:rFonts w:asciiTheme="majorHAnsi" w:hAnsiTheme="majorHAnsi" w:cs="Calibri"/>
          <w:sz w:val="24"/>
          <w:szCs w:val="24"/>
        </w:rPr>
        <w:t xml:space="preserve"> </w:t>
      </w:r>
      <w:r w:rsidRPr="00A05DC2">
        <w:rPr>
          <w:rFonts w:asciiTheme="majorHAnsi" w:hAnsiTheme="majorHAnsi" w:cs="Calibri"/>
          <w:sz w:val="24"/>
          <w:szCs w:val="24"/>
        </w:rPr>
        <w:t xml:space="preserve">Брестской области </w:t>
      </w:r>
      <w:r w:rsidR="00B5237F">
        <w:rPr>
          <w:rFonts w:asciiTheme="majorHAnsi" w:hAnsiTheme="majorHAnsi" w:cs="Calibri"/>
          <w:sz w:val="24"/>
          <w:szCs w:val="24"/>
        </w:rPr>
        <w:t>–</w:t>
      </w:r>
      <w:r w:rsidRPr="00A05DC2">
        <w:rPr>
          <w:rFonts w:asciiTheme="majorHAnsi" w:hAnsiTheme="majorHAnsi" w:cs="Calibri"/>
          <w:sz w:val="24"/>
          <w:szCs w:val="24"/>
        </w:rPr>
        <w:t xml:space="preserve"> на</w:t>
      </w:r>
      <w:r w:rsidR="00B5237F">
        <w:rPr>
          <w:rFonts w:asciiTheme="majorHAnsi" w:hAnsiTheme="majorHAnsi" w:cs="Calibri"/>
          <w:sz w:val="24"/>
          <w:szCs w:val="24"/>
        </w:rPr>
        <w:t xml:space="preserve">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54,6 млрд</w:t>
      </w:r>
      <w:r w:rsidR="00B5237F">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территориальном </w:t>
      </w:r>
      <w:proofErr w:type="gramStart"/>
      <w:r w:rsidRPr="00A05DC2">
        <w:rPr>
          <w:rFonts w:asciiTheme="majorHAnsi" w:hAnsiTheme="majorHAnsi" w:cs="Calibri"/>
          <w:sz w:val="24"/>
          <w:szCs w:val="24"/>
        </w:rPr>
        <w:t>разрезе</w:t>
      </w:r>
      <w:proofErr w:type="gramEnd"/>
      <w:r w:rsidRPr="00A05DC2">
        <w:rPr>
          <w:rFonts w:asciiTheme="majorHAnsi" w:hAnsiTheme="majorHAnsi" w:cs="Calibri"/>
          <w:sz w:val="24"/>
          <w:szCs w:val="24"/>
        </w:rPr>
        <w:t xml:space="preserve"> сокращение просроченной кредиторской задолженности отмечено в 52 районах и городах, прирост</w:t>
      </w:r>
      <w:r w:rsidR="00B5237F">
        <w:rPr>
          <w:rFonts w:asciiTheme="majorHAnsi" w:hAnsiTheme="majorHAnsi" w:cs="Calibri"/>
          <w:sz w:val="24"/>
          <w:szCs w:val="24"/>
        </w:rPr>
        <w:t xml:space="preserve"> – </w:t>
      </w:r>
      <w:r w:rsidRPr="00A05DC2">
        <w:rPr>
          <w:rFonts w:asciiTheme="majorHAnsi" w:hAnsiTheme="majorHAnsi" w:cs="Calibri"/>
          <w:sz w:val="24"/>
          <w:szCs w:val="24"/>
        </w:rPr>
        <w:t>в</w:t>
      </w:r>
      <w:r w:rsidR="00B5237F">
        <w:rPr>
          <w:rFonts w:asciiTheme="majorHAnsi" w:hAnsiTheme="majorHAnsi" w:cs="Calibri"/>
          <w:sz w:val="24"/>
          <w:szCs w:val="24"/>
        </w:rPr>
        <w:t xml:space="preserve"> </w:t>
      </w:r>
      <w:r w:rsidRPr="00A05DC2">
        <w:rPr>
          <w:rFonts w:asciiTheme="majorHAnsi" w:hAnsiTheme="majorHAnsi" w:cs="Calibri"/>
          <w:sz w:val="24"/>
          <w:szCs w:val="24"/>
        </w:rPr>
        <w:t>77 районах и городах.</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Максимальное сокращение просроченной кредиторской задолженности – в </w:t>
      </w:r>
      <w:proofErr w:type="spellStart"/>
      <w:r w:rsidRPr="00A05DC2">
        <w:rPr>
          <w:rFonts w:asciiTheme="majorHAnsi" w:hAnsiTheme="majorHAnsi" w:cs="Calibri"/>
          <w:sz w:val="24"/>
          <w:szCs w:val="24"/>
        </w:rPr>
        <w:t>Жлобинском</w:t>
      </w:r>
      <w:proofErr w:type="spellEnd"/>
      <w:r w:rsidRPr="00A05DC2">
        <w:rPr>
          <w:rFonts w:asciiTheme="majorHAnsi" w:hAnsiTheme="majorHAnsi" w:cs="Calibri"/>
          <w:sz w:val="24"/>
          <w:szCs w:val="24"/>
        </w:rPr>
        <w:t xml:space="preserve"> районе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34,8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максимальный прирост (за исключением Минска)</w:t>
      </w:r>
      <w:r w:rsidR="00B5237F">
        <w:rPr>
          <w:rFonts w:asciiTheme="majorHAnsi" w:hAnsiTheme="majorHAnsi" w:cs="Calibri"/>
          <w:sz w:val="24"/>
          <w:szCs w:val="24"/>
        </w:rPr>
        <w:t xml:space="preserve"> –</w:t>
      </w:r>
      <w:r w:rsidRPr="00A05DC2">
        <w:rPr>
          <w:rFonts w:asciiTheme="majorHAnsi" w:hAnsiTheme="majorHAnsi" w:cs="Calibri"/>
          <w:sz w:val="24"/>
          <w:szCs w:val="24"/>
        </w:rPr>
        <w:t xml:space="preserve"> в</w:t>
      </w:r>
      <w:r w:rsidR="00B5237F">
        <w:rPr>
          <w:rFonts w:asciiTheme="majorHAnsi" w:hAnsiTheme="majorHAnsi" w:cs="Calibri"/>
          <w:sz w:val="24"/>
          <w:szCs w:val="24"/>
        </w:rPr>
        <w:t xml:space="preserve"> </w:t>
      </w:r>
      <w:r w:rsidRPr="00A05DC2">
        <w:rPr>
          <w:rFonts w:asciiTheme="majorHAnsi" w:hAnsiTheme="majorHAnsi" w:cs="Calibri"/>
          <w:sz w:val="24"/>
          <w:szCs w:val="24"/>
        </w:rPr>
        <w:t xml:space="preserve">Гомеле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124,2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B5237F">
        <w:rPr>
          <w:rFonts w:asciiTheme="majorHAnsi" w:hAnsiTheme="majorHAnsi" w:cs="Calibri"/>
          <w:b/>
          <w:sz w:val="24"/>
          <w:szCs w:val="24"/>
        </w:rPr>
        <w:t>Дебиторская задолженность</w:t>
      </w:r>
      <w:r w:rsidRPr="00A05DC2">
        <w:rPr>
          <w:rFonts w:asciiTheme="majorHAnsi" w:hAnsiTheme="majorHAnsi" w:cs="Calibri"/>
          <w:sz w:val="24"/>
          <w:szCs w:val="24"/>
        </w:rPr>
        <w:t xml:space="preserve"> выросла в феврале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3,0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и составила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196,3 трлн.</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Внешняя дебиторская задолженность в феврале увеличилась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1,0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51,3 трлн. Основной объем прироста обеспечен промышленными предприятиями и оптовой торговлей. В промышленности основной объем прироста сформировали производители машин и оборудования и пищевая промышленность</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lastRenderedPageBreak/>
        <w:t xml:space="preserve">Внутриреспубликанская дебиторская задолженность увеличилась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1,9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145,0 трлн. Наибольший прирост отмечен в промышленности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2,0 </w:t>
      </w:r>
      <w:proofErr w:type="spellStart"/>
      <w:r w:rsidRPr="00A05DC2">
        <w:rPr>
          <w:rFonts w:asciiTheme="majorHAnsi" w:hAnsiTheme="majorHAnsi" w:cs="Calibri"/>
          <w:sz w:val="24"/>
          <w:szCs w:val="24"/>
        </w:rPr>
        <w:t>трлн</w:t>
      </w:r>
      <w:proofErr w:type="spellEnd"/>
      <w:r w:rsidRPr="00A05DC2">
        <w:rPr>
          <w:rFonts w:asciiTheme="majorHAnsi" w:hAnsiTheme="majorHAnsi" w:cs="Calibri"/>
          <w:sz w:val="24"/>
          <w:szCs w:val="24"/>
        </w:rPr>
        <w:t xml:space="preserve">), строительстве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0,5 </w:t>
      </w:r>
      <w:proofErr w:type="spellStart"/>
      <w:r w:rsidRPr="00A05DC2">
        <w:rPr>
          <w:rFonts w:asciiTheme="majorHAnsi" w:hAnsiTheme="majorHAnsi" w:cs="Calibri"/>
          <w:sz w:val="24"/>
          <w:szCs w:val="24"/>
        </w:rPr>
        <w:t>трлн</w:t>
      </w:r>
      <w:proofErr w:type="spellEnd"/>
      <w:r w:rsidRPr="00A05DC2">
        <w:rPr>
          <w:rFonts w:asciiTheme="majorHAnsi" w:hAnsiTheme="majorHAnsi" w:cs="Calibri"/>
          <w:sz w:val="24"/>
          <w:szCs w:val="24"/>
        </w:rPr>
        <w:t xml:space="preserve">). Наибольшее сокращение отмечено  у предприятий трубопроводного транспорта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0,5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и торговли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0,4 </w:t>
      </w:r>
      <w:proofErr w:type="spellStart"/>
      <w:r w:rsidRPr="00A05DC2">
        <w:rPr>
          <w:rFonts w:asciiTheme="majorHAnsi" w:hAnsiTheme="majorHAnsi" w:cs="Calibri"/>
          <w:sz w:val="24"/>
          <w:szCs w:val="24"/>
        </w:rPr>
        <w:t>трлн</w:t>
      </w:r>
      <w:proofErr w:type="spellEnd"/>
      <w:r w:rsidRPr="00A05DC2">
        <w:rPr>
          <w:rFonts w:asciiTheme="majorHAnsi" w:hAnsiTheme="majorHAnsi" w:cs="Calibri"/>
          <w:sz w:val="24"/>
          <w:szCs w:val="24"/>
        </w:rPr>
        <w:t>)</w:t>
      </w:r>
      <w:r w:rsidR="00B5237F">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региональном разрезе сокращение дебиторской задолженности отмечено в Витебской области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139,9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и Минске (на </w:t>
      </w:r>
      <w:r w:rsidRPr="00A05DC2">
        <w:rPr>
          <w:rFonts w:asciiTheme="majorHAnsi" w:hAnsiTheme="majorHAnsi" w:cs="Calibri"/>
          <w:sz w:val="24"/>
          <w:szCs w:val="24"/>
          <w:lang w:val="en-US"/>
        </w:rPr>
        <w:t>BYR</w:t>
      </w:r>
      <w:r w:rsidR="00B5237F">
        <w:rPr>
          <w:rFonts w:asciiTheme="majorHAnsi" w:hAnsiTheme="majorHAnsi" w:cs="Calibri"/>
          <w:sz w:val="24"/>
          <w:szCs w:val="24"/>
        </w:rPr>
        <w:t xml:space="preserve"> 519,6 </w:t>
      </w:r>
      <w:proofErr w:type="spellStart"/>
      <w:r w:rsidR="00B5237F">
        <w:rPr>
          <w:rFonts w:asciiTheme="majorHAnsi" w:hAnsiTheme="majorHAnsi" w:cs="Calibri"/>
          <w:sz w:val="24"/>
          <w:szCs w:val="24"/>
        </w:rPr>
        <w:t>млрд</w:t>
      </w:r>
      <w:proofErr w:type="spellEnd"/>
      <w:r w:rsidR="00B5237F">
        <w:rPr>
          <w:rFonts w:asciiTheme="majorHAnsi" w:hAnsiTheme="majorHAnsi" w:cs="Calibri"/>
          <w:sz w:val="24"/>
          <w:szCs w:val="24"/>
        </w:rPr>
        <w:t>)</w:t>
      </w:r>
      <w:r w:rsidRPr="00A05DC2">
        <w:rPr>
          <w:rFonts w:asciiTheme="majorHAnsi" w:hAnsiTheme="majorHAnsi" w:cs="Calibri"/>
          <w:sz w:val="24"/>
          <w:szCs w:val="24"/>
        </w:rPr>
        <w:t xml:space="preserve">. Наибольший прирост дебиторской задолженности отмечено в Гродненской области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1 411,9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w:t>
      </w:r>
      <w:r w:rsidR="00B5237F">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территориальном </w:t>
      </w:r>
      <w:proofErr w:type="gramStart"/>
      <w:r w:rsidRPr="00A05DC2">
        <w:rPr>
          <w:rFonts w:asciiTheme="majorHAnsi" w:hAnsiTheme="majorHAnsi" w:cs="Calibri"/>
          <w:sz w:val="24"/>
          <w:szCs w:val="24"/>
        </w:rPr>
        <w:t>разрезе</w:t>
      </w:r>
      <w:proofErr w:type="gramEnd"/>
      <w:r w:rsidRPr="00A05DC2">
        <w:rPr>
          <w:rFonts w:asciiTheme="majorHAnsi" w:hAnsiTheme="majorHAnsi" w:cs="Calibri"/>
          <w:sz w:val="24"/>
          <w:szCs w:val="24"/>
        </w:rPr>
        <w:t xml:space="preserve"> прирост дебиторской задолженности отмечен в 91 районе и городе, сокращение</w:t>
      </w:r>
      <w:r w:rsidR="00B5237F">
        <w:rPr>
          <w:rFonts w:asciiTheme="majorHAnsi" w:hAnsiTheme="majorHAnsi" w:cs="Calibri"/>
          <w:sz w:val="24"/>
          <w:szCs w:val="24"/>
        </w:rPr>
        <w:t xml:space="preserve"> – </w:t>
      </w:r>
      <w:r w:rsidRPr="00A05DC2">
        <w:rPr>
          <w:rFonts w:asciiTheme="majorHAnsi" w:hAnsiTheme="majorHAnsi" w:cs="Calibri"/>
          <w:sz w:val="24"/>
          <w:szCs w:val="24"/>
        </w:rPr>
        <w:t>в</w:t>
      </w:r>
      <w:r w:rsidR="00B5237F">
        <w:rPr>
          <w:rFonts w:asciiTheme="majorHAnsi" w:hAnsiTheme="majorHAnsi" w:cs="Calibri"/>
          <w:sz w:val="24"/>
          <w:szCs w:val="24"/>
        </w:rPr>
        <w:t xml:space="preserve"> </w:t>
      </w:r>
      <w:r w:rsidRPr="00A05DC2">
        <w:rPr>
          <w:rFonts w:asciiTheme="majorHAnsi" w:hAnsiTheme="majorHAnsi" w:cs="Calibri"/>
          <w:sz w:val="24"/>
          <w:szCs w:val="24"/>
        </w:rPr>
        <w:t>38 районах и городах.</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Просроченная дебиторская задолженность выросла в феврале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1,7 </w:t>
      </w:r>
      <w:proofErr w:type="spellStart"/>
      <w:proofErr w:type="gramStart"/>
      <w:r w:rsidRPr="00A05DC2">
        <w:rPr>
          <w:rFonts w:asciiTheme="majorHAnsi" w:hAnsiTheme="majorHAnsi" w:cs="Calibri"/>
          <w:sz w:val="24"/>
          <w:szCs w:val="24"/>
        </w:rPr>
        <w:t>трлн</w:t>
      </w:r>
      <w:proofErr w:type="spellEnd"/>
      <w:proofErr w:type="gramEnd"/>
      <w:r w:rsidRPr="00A05DC2">
        <w:rPr>
          <w:rFonts w:asciiTheme="majorHAnsi" w:hAnsiTheme="majorHAnsi" w:cs="Calibri"/>
          <w:sz w:val="24"/>
          <w:szCs w:val="24"/>
        </w:rPr>
        <w:t xml:space="preserve"> и составила на 1 марта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33,1 трлн. Удельный вес просроченной дебиторской задолженности на 1 марта составил 16,9% от общего объема дебиторской задолженности.</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Внешняя просроченная дебиторская задолженность выросла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135,8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до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4,8 трлн. Прирост обеспечен промышленными предприятиями по производству резиновых и пластмассовых изделий и пищевой промышленностью</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Внутриреспубликанская просроченная дебиторская задолженность выросла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1 588,7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xml:space="preserve"> и достигла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28,3 трлн. Основной прирост обеспечен предприятиями пищевой промышленности, электроэнергетики, химического производства и строительства.</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региональном </w:t>
      </w:r>
      <w:proofErr w:type="gramStart"/>
      <w:r w:rsidRPr="00A05DC2">
        <w:rPr>
          <w:rFonts w:asciiTheme="majorHAnsi" w:hAnsiTheme="majorHAnsi" w:cs="Calibri"/>
          <w:sz w:val="24"/>
          <w:szCs w:val="24"/>
        </w:rPr>
        <w:t>разрезе</w:t>
      </w:r>
      <w:proofErr w:type="gramEnd"/>
      <w:r w:rsidRPr="00A05DC2">
        <w:rPr>
          <w:rFonts w:asciiTheme="majorHAnsi" w:hAnsiTheme="majorHAnsi" w:cs="Calibri"/>
          <w:sz w:val="24"/>
          <w:szCs w:val="24"/>
        </w:rPr>
        <w:t xml:space="preserve"> увеличение просроченной дебиторской задолженности отмечено во всех областях, за исключением Гомельской области, и Минске. </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Наибольшее увеличение просроченной дебиторской задолженности отмечено в Могилевской области и составило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634,9 млрд. Сокращение просроченной задолженности в Гомельской области составило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76,0 млрд.</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территориальном </w:t>
      </w:r>
      <w:proofErr w:type="gramStart"/>
      <w:r w:rsidRPr="00A05DC2">
        <w:rPr>
          <w:rFonts w:asciiTheme="majorHAnsi" w:hAnsiTheme="majorHAnsi" w:cs="Calibri"/>
          <w:sz w:val="24"/>
          <w:szCs w:val="24"/>
        </w:rPr>
        <w:t>разрезе</w:t>
      </w:r>
      <w:proofErr w:type="gramEnd"/>
      <w:r w:rsidRPr="00A05DC2">
        <w:rPr>
          <w:rFonts w:asciiTheme="majorHAnsi" w:hAnsiTheme="majorHAnsi" w:cs="Calibri"/>
          <w:sz w:val="24"/>
          <w:szCs w:val="24"/>
        </w:rPr>
        <w:t xml:space="preserve"> сокращение просроченной дебиторской задолженности отмечено в 35 районах и городах, прирост</w:t>
      </w:r>
      <w:r w:rsidR="00B5237F">
        <w:rPr>
          <w:rFonts w:asciiTheme="majorHAnsi" w:hAnsiTheme="majorHAnsi" w:cs="Calibri"/>
          <w:sz w:val="24"/>
          <w:szCs w:val="24"/>
        </w:rPr>
        <w:t xml:space="preserve"> – </w:t>
      </w:r>
      <w:r w:rsidRPr="00A05DC2">
        <w:rPr>
          <w:rFonts w:asciiTheme="majorHAnsi" w:hAnsiTheme="majorHAnsi" w:cs="Calibri"/>
          <w:sz w:val="24"/>
          <w:szCs w:val="24"/>
        </w:rPr>
        <w:t>в</w:t>
      </w:r>
      <w:r w:rsidR="00B5237F">
        <w:rPr>
          <w:rFonts w:asciiTheme="majorHAnsi" w:hAnsiTheme="majorHAnsi" w:cs="Calibri"/>
          <w:sz w:val="24"/>
          <w:szCs w:val="24"/>
        </w:rPr>
        <w:t xml:space="preserve"> </w:t>
      </w:r>
      <w:r w:rsidRPr="00A05DC2">
        <w:rPr>
          <w:rFonts w:asciiTheme="majorHAnsi" w:hAnsiTheme="majorHAnsi" w:cs="Calibri"/>
          <w:sz w:val="24"/>
          <w:szCs w:val="24"/>
        </w:rPr>
        <w:t>94 районах и городах.</w:t>
      </w: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Максимальное сокращение просроченной дебиторской задолженности – в Минском районе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155,5 </w:t>
      </w:r>
      <w:proofErr w:type="spellStart"/>
      <w:proofErr w:type="gramStart"/>
      <w:r w:rsidRPr="00A05DC2">
        <w:rPr>
          <w:rFonts w:asciiTheme="majorHAnsi" w:hAnsiTheme="majorHAnsi" w:cs="Calibri"/>
          <w:sz w:val="24"/>
          <w:szCs w:val="24"/>
        </w:rPr>
        <w:t>млрд</w:t>
      </w:r>
      <w:proofErr w:type="spellEnd"/>
      <w:proofErr w:type="gramEnd"/>
      <w:r w:rsidRPr="00A05DC2">
        <w:rPr>
          <w:rFonts w:asciiTheme="majorHAnsi" w:hAnsiTheme="majorHAnsi" w:cs="Calibri"/>
          <w:sz w:val="24"/>
          <w:szCs w:val="24"/>
        </w:rPr>
        <w:t>), максимальный прирост</w:t>
      </w:r>
      <w:r w:rsidR="00B5237F">
        <w:rPr>
          <w:rFonts w:asciiTheme="majorHAnsi" w:hAnsiTheme="majorHAnsi" w:cs="Calibri"/>
          <w:sz w:val="24"/>
          <w:szCs w:val="24"/>
        </w:rPr>
        <w:t xml:space="preserve"> –</w:t>
      </w:r>
      <w:r w:rsidRPr="00A05DC2">
        <w:rPr>
          <w:rFonts w:asciiTheme="majorHAnsi" w:hAnsiTheme="majorHAnsi" w:cs="Calibri"/>
          <w:sz w:val="24"/>
          <w:szCs w:val="24"/>
        </w:rPr>
        <w:t xml:space="preserve"> в</w:t>
      </w:r>
      <w:r w:rsidR="00B5237F">
        <w:rPr>
          <w:rFonts w:asciiTheme="majorHAnsi" w:hAnsiTheme="majorHAnsi" w:cs="Calibri"/>
          <w:sz w:val="24"/>
          <w:szCs w:val="24"/>
        </w:rPr>
        <w:t xml:space="preserve"> </w:t>
      </w:r>
      <w:r w:rsidRPr="00A05DC2">
        <w:rPr>
          <w:rFonts w:asciiTheme="majorHAnsi" w:hAnsiTheme="majorHAnsi" w:cs="Calibri"/>
          <w:sz w:val="24"/>
          <w:szCs w:val="24"/>
        </w:rPr>
        <w:t xml:space="preserve">Бресте (на </w:t>
      </w:r>
      <w:r w:rsidRPr="00A05DC2">
        <w:rPr>
          <w:rFonts w:asciiTheme="majorHAnsi" w:hAnsiTheme="majorHAnsi" w:cs="Calibri"/>
          <w:sz w:val="24"/>
          <w:szCs w:val="24"/>
          <w:lang w:val="en-US"/>
        </w:rPr>
        <w:t>BYR</w:t>
      </w:r>
      <w:r w:rsidRPr="00A05DC2">
        <w:rPr>
          <w:rFonts w:asciiTheme="majorHAnsi" w:hAnsiTheme="majorHAnsi" w:cs="Calibri"/>
          <w:sz w:val="24"/>
          <w:szCs w:val="24"/>
        </w:rPr>
        <w:t xml:space="preserve"> 223,4 </w:t>
      </w:r>
      <w:proofErr w:type="spellStart"/>
      <w:r w:rsidRPr="00A05DC2">
        <w:rPr>
          <w:rFonts w:asciiTheme="majorHAnsi" w:hAnsiTheme="majorHAnsi" w:cs="Calibri"/>
          <w:sz w:val="24"/>
          <w:szCs w:val="24"/>
        </w:rPr>
        <w:t>млрд</w:t>
      </w:r>
      <w:proofErr w:type="spellEnd"/>
      <w:r w:rsidRPr="00A05DC2">
        <w:rPr>
          <w:rFonts w:asciiTheme="majorHAnsi" w:hAnsiTheme="majorHAnsi" w:cs="Calibri"/>
          <w:sz w:val="24"/>
          <w:szCs w:val="24"/>
        </w:rPr>
        <w:t>).</w:t>
      </w:r>
    </w:p>
    <w:p w:rsidR="00A05DC2" w:rsidRPr="00A05DC2" w:rsidRDefault="00A05DC2" w:rsidP="00C11730">
      <w:pPr>
        <w:tabs>
          <w:tab w:val="left" w:pos="10773"/>
        </w:tabs>
        <w:ind w:right="281"/>
        <w:jc w:val="both"/>
        <w:rPr>
          <w:rFonts w:asciiTheme="majorHAnsi" w:hAnsiTheme="majorHAnsi" w:cs="Calibri"/>
          <w:i/>
          <w:sz w:val="24"/>
          <w:szCs w:val="24"/>
        </w:rPr>
      </w:pPr>
    </w:p>
    <w:p w:rsidR="00A05DC2" w:rsidRPr="00A05DC2" w:rsidRDefault="00A05DC2" w:rsidP="00C11730">
      <w:pPr>
        <w:tabs>
          <w:tab w:val="left" w:pos="10773"/>
        </w:tabs>
        <w:ind w:right="281"/>
        <w:jc w:val="both"/>
        <w:rPr>
          <w:rFonts w:asciiTheme="majorHAnsi" w:hAnsiTheme="majorHAnsi" w:cs="Calibri"/>
          <w:sz w:val="24"/>
          <w:szCs w:val="24"/>
        </w:rPr>
      </w:pPr>
      <w:r w:rsidRPr="00A05DC2">
        <w:rPr>
          <w:rFonts w:asciiTheme="majorHAnsi" w:hAnsiTheme="majorHAnsi" w:cs="Calibri"/>
          <w:sz w:val="24"/>
          <w:szCs w:val="24"/>
        </w:rPr>
        <w:t xml:space="preserve">В </w:t>
      </w:r>
      <w:proofErr w:type="gramStart"/>
      <w:r w:rsidRPr="00A05DC2">
        <w:rPr>
          <w:rFonts w:asciiTheme="majorHAnsi" w:hAnsiTheme="majorHAnsi" w:cs="Calibri"/>
          <w:sz w:val="24"/>
          <w:szCs w:val="24"/>
        </w:rPr>
        <w:t>феврале</w:t>
      </w:r>
      <w:proofErr w:type="gramEnd"/>
      <w:r w:rsidRPr="00A05DC2">
        <w:rPr>
          <w:rFonts w:asciiTheme="majorHAnsi" w:hAnsiTheme="majorHAnsi" w:cs="Calibri"/>
          <w:sz w:val="24"/>
          <w:szCs w:val="24"/>
        </w:rPr>
        <w:t xml:space="preserve">, без учета технической операции по переводу кредиторской задолженности Белорусской АЭС в разряд задолженности по кредитам и займам, в экономике отмечено продолжение тенденции роста текущей задолженности. Крайне быстрыми темпами увеличивается просроченная задолженность, негативные явления начинают распространяться на банковский сектор в виде увеличения просроченной задолженности по кредитам и займам. Определенное улучшение ситуации стоит ожидать после выделения существенных средств на ряд государственных программ по модернизации экономики. Запланированное выделение кредитов для АПК может поспособствовать частичному погашению просроченной задолженности данного вида деятельности перед промышленностью. </w:t>
      </w:r>
    </w:p>
    <w:p w:rsidR="00A05DC2" w:rsidRPr="00A05DC2" w:rsidRDefault="00A05DC2" w:rsidP="00C11730">
      <w:pPr>
        <w:tabs>
          <w:tab w:val="left" w:pos="10773"/>
        </w:tabs>
        <w:ind w:right="281"/>
        <w:jc w:val="both"/>
        <w:rPr>
          <w:rFonts w:asciiTheme="majorHAnsi" w:hAnsiTheme="majorHAnsi" w:cs="Calibri"/>
          <w:i/>
          <w:sz w:val="24"/>
          <w:szCs w:val="24"/>
        </w:rPr>
      </w:pPr>
      <w:r w:rsidRPr="00A05DC2">
        <w:rPr>
          <w:rFonts w:asciiTheme="majorHAnsi" w:hAnsiTheme="majorHAnsi" w:cs="Calibri"/>
          <w:sz w:val="24"/>
          <w:szCs w:val="24"/>
        </w:rPr>
        <w:t xml:space="preserve">В </w:t>
      </w:r>
      <w:proofErr w:type="gramStart"/>
      <w:r w:rsidRPr="00A05DC2">
        <w:rPr>
          <w:rFonts w:asciiTheme="majorHAnsi" w:hAnsiTheme="majorHAnsi" w:cs="Calibri"/>
          <w:sz w:val="24"/>
          <w:szCs w:val="24"/>
        </w:rPr>
        <w:t>марте</w:t>
      </w:r>
      <w:proofErr w:type="gramEnd"/>
      <w:r w:rsidRPr="00A05DC2">
        <w:rPr>
          <w:rFonts w:asciiTheme="majorHAnsi" w:hAnsiTheme="majorHAnsi" w:cs="Calibri"/>
          <w:sz w:val="24"/>
          <w:szCs w:val="24"/>
        </w:rPr>
        <w:t xml:space="preserve"> ситуация с расчетами в существенной степени определяется своевременностью поступления средств в рамках государственных программ на счета предприятий. Для </w:t>
      </w:r>
      <w:r w:rsidRPr="00A05DC2">
        <w:rPr>
          <w:rFonts w:asciiTheme="majorHAnsi" w:hAnsiTheme="majorHAnsi" w:cs="Calibri"/>
          <w:sz w:val="24"/>
          <w:szCs w:val="24"/>
        </w:rPr>
        <w:lastRenderedPageBreak/>
        <w:t>разгрузки складов ряда промышленных предприятий были приняты нормативные документы, которые, в случае их реализации в полном объеме могут способствовать уменьшению как текущей, так и просроченной задолженности</w:t>
      </w:r>
      <w:r w:rsidRPr="00A05DC2">
        <w:rPr>
          <w:rFonts w:asciiTheme="majorHAnsi" w:hAnsiTheme="majorHAnsi" w:cs="Calibri"/>
          <w:i/>
          <w:sz w:val="24"/>
          <w:szCs w:val="24"/>
        </w:rPr>
        <w:t xml:space="preserve">. </w:t>
      </w:r>
    </w:p>
    <w:p w:rsidR="00A05DC2" w:rsidRPr="00A05DC2" w:rsidRDefault="00A05DC2" w:rsidP="00C11730">
      <w:pPr>
        <w:tabs>
          <w:tab w:val="left" w:pos="10773"/>
        </w:tabs>
        <w:ind w:right="281"/>
        <w:jc w:val="both"/>
        <w:rPr>
          <w:rFonts w:asciiTheme="majorHAnsi" w:hAnsiTheme="majorHAnsi"/>
          <w:i/>
          <w:sz w:val="24"/>
          <w:szCs w:val="24"/>
        </w:rPr>
      </w:pPr>
    </w:p>
    <w:p w:rsidR="00A05DC2" w:rsidRPr="00A05DC2" w:rsidRDefault="00A05DC2" w:rsidP="00C11730">
      <w:pPr>
        <w:tabs>
          <w:tab w:val="left" w:pos="10773"/>
        </w:tabs>
        <w:ind w:right="281"/>
        <w:jc w:val="both"/>
        <w:rPr>
          <w:rFonts w:asciiTheme="majorHAnsi" w:eastAsiaTheme="minorHAnsi" w:hAnsiTheme="majorHAnsi" w:cstheme="minorBidi"/>
          <w:i/>
          <w:sz w:val="24"/>
          <w:szCs w:val="24"/>
        </w:rPr>
      </w:pPr>
    </w:p>
    <w:p w:rsidR="008A6662" w:rsidRPr="00A05DC2" w:rsidRDefault="008A6662" w:rsidP="00C11730">
      <w:pPr>
        <w:tabs>
          <w:tab w:val="left" w:pos="10773"/>
        </w:tabs>
        <w:ind w:right="281"/>
        <w:jc w:val="both"/>
        <w:rPr>
          <w:rFonts w:asciiTheme="majorHAnsi" w:hAnsiTheme="majorHAnsi" w:cs="Calibri"/>
          <w:sz w:val="24"/>
          <w:szCs w:val="24"/>
        </w:rPr>
      </w:pPr>
    </w:p>
    <w:p w:rsidR="004F1745" w:rsidRPr="00995CBF" w:rsidRDefault="001A21C4" w:rsidP="00C11730">
      <w:pPr>
        <w:tabs>
          <w:tab w:val="left" w:pos="10773"/>
        </w:tabs>
        <w:ind w:right="281"/>
        <w:jc w:val="center"/>
        <w:rPr>
          <w:rFonts w:asciiTheme="majorHAnsi" w:hAnsiTheme="majorHAnsi"/>
          <w:b/>
          <w:sz w:val="24"/>
          <w:szCs w:val="24"/>
        </w:rPr>
      </w:pPr>
      <w:bookmarkStart w:id="3" w:name="реальныйсектор"/>
      <w:bookmarkEnd w:id="2"/>
      <w:r w:rsidRPr="00A05DC2">
        <w:rPr>
          <w:rFonts w:asciiTheme="majorHAnsi" w:hAnsiTheme="majorHAnsi"/>
          <w:sz w:val="24"/>
          <w:szCs w:val="24"/>
        </w:rPr>
        <w:br w:type="page"/>
      </w:r>
      <w:r w:rsidR="004F1745" w:rsidRPr="00995CBF">
        <w:rPr>
          <w:rFonts w:asciiTheme="majorHAnsi" w:hAnsiTheme="majorHAnsi"/>
          <w:b/>
          <w:sz w:val="24"/>
          <w:szCs w:val="24"/>
        </w:rPr>
        <w:lastRenderedPageBreak/>
        <w:t>РЕАЛЬНЫЙ СЕКТОР</w:t>
      </w:r>
    </w:p>
    <w:p w:rsidR="00A05DC2" w:rsidRPr="00995CBF" w:rsidRDefault="003A37BC" w:rsidP="00C11730">
      <w:pPr>
        <w:tabs>
          <w:tab w:val="left" w:pos="10773"/>
        </w:tabs>
        <w:ind w:right="281"/>
        <w:jc w:val="both"/>
        <w:rPr>
          <w:rFonts w:asciiTheme="majorHAnsi" w:hAnsiTheme="majorHAnsi"/>
          <w:b/>
          <w:sz w:val="24"/>
          <w:szCs w:val="24"/>
        </w:rPr>
      </w:pPr>
      <w:r>
        <w:rPr>
          <w:rFonts w:asciiTheme="majorHAnsi" w:hAnsiTheme="majorHAnsi"/>
          <w:b/>
          <w:sz w:val="24"/>
          <w:szCs w:val="24"/>
          <w:lang w:val="en-US"/>
        </w:rPr>
        <w:t>I</w:t>
      </w:r>
      <w:r>
        <w:rPr>
          <w:rFonts w:asciiTheme="majorHAnsi" w:hAnsiTheme="majorHAnsi"/>
          <w:b/>
          <w:sz w:val="24"/>
          <w:szCs w:val="24"/>
        </w:rPr>
        <w:t xml:space="preserve">. </w:t>
      </w:r>
      <w:r w:rsidR="00A05DC2" w:rsidRPr="00995CBF">
        <w:rPr>
          <w:rFonts w:asciiTheme="majorHAnsi" w:hAnsiTheme="majorHAnsi"/>
          <w:b/>
          <w:sz w:val="24"/>
          <w:szCs w:val="24"/>
        </w:rPr>
        <w:t>Промышленность</w:t>
      </w: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rPr>
        <w:t>Производственные показатели</w:t>
      </w:r>
    </w:p>
    <w:p w:rsidR="00A05DC2" w:rsidRPr="00A05DC2" w:rsidRDefault="00A05DC2" w:rsidP="00C11730">
      <w:pPr>
        <w:tabs>
          <w:tab w:val="left" w:pos="10773"/>
        </w:tabs>
        <w:ind w:right="281"/>
        <w:jc w:val="both"/>
        <w:rPr>
          <w:rFonts w:asciiTheme="majorHAnsi" w:hAnsiTheme="majorHAnsi"/>
          <w:sz w:val="24"/>
          <w:szCs w:val="24"/>
        </w:rPr>
      </w:pPr>
      <w:r w:rsidRPr="00995CBF">
        <w:rPr>
          <w:rFonts w:asciiTheme="majorHAnsi" w:hAnsiTheme="majorHAnsi"/>
          <w:b/>
          <w:sz w:val="24"/>
          <w:szCs w:val="24"/>
        </w:rPr>
        <w:t>Объем производства</w:t>
      </w:r>
      <w:r w:rsidRPr="00A05DC2">
        <w:rPr>
          <w:rFonts w:asciiTheme="majorHAnsi" w:hAnsiTheme="majorHAnsi"/>
          <w:sz w:val="24"/>
          <w:szCs w:val="24"/>
        </w:rPr>
        <w:t xml:space="preserve"> продукции за январь-март 2014 года </w:t>
      </w:r>
      <w:r w:rsidRPr="00A05DC2">
        <w:rPr>
          <w:rFonts w:asciiTheme="majorHAnsi" w:hAnsiTheme="majorHAnsi"/>
          <w:sz w:val="24"/>
          <w:szCs w:val="24"/>
          <w:lang w:val="en-US"/>
        </w:rPr>
        <w:t>BYR</w:t>
      </w:r>
      <w:r w:rsidRPr="00A05DC2">
        <w:rPr>
          <w:rFonts w:asciiTheme="majorHAnsi" w:hAnsiTheme="majorHAnsi"/>
          <w:sz w:val="24"/>
          <w:szCs w:val="24"/>
        </w:rPr>
        <w:t xml:space="preserve"> 161,7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в том числе в марте</w:t>
      </w:r>
      <w:r w:rsidR="00995CBF">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57,9 трлн. Индекс промышленного производства</w:t>
      </w:r>
      <w:r w:rsidR="00995CBF">
        <w:rPr>
          <w:rFonts w:asciiTheme="majorHAnsi" w:hAnsiTheme="majorHAnsi"/>
          <w:sz w:val="24"/>
          <w:szCs w:val="24"/>
        </w:rPr>
        <w:t xml:space="preserve"> – </w:t>
      </w:r>
      <w:r w:rsidRPr="00A05DC2">
        <w:rPr>
          <w:rFonts w:asciiTheme="majorHAnsi" w:hAnsiTheme="majorHAnsi"/>
          <w:sz w:val="24"/>
          <w:szCs w:val="24"/>
        </w:rPr>
        <w:t>96,6% к январю-марту 2013 года, в том числе март</w:t>
      </w:r>
      <w:r w:rsidR="00995CBF">
        <w:rPr>
          <w:rFonts w:asciiTheme="majorHAnsi" w:hAnsiTheme="majorHAnsi"/>
          <w:sz w:val="24"/>
          <w:szCs w:val="24"/>
        </w:rPr>
        <w:t xml:space="preserve"> – </w:t>
      </w:r>
      <w:r w:rsidRPr="00A05DC2">
        <w:rPr>
          <w:rFonts w:asciiTheme="majorHAnsi" w:hAnsiTheme="majorHAnsi"/>
          <w:sz w:val="24"/>
          <w:szCs w:val="24"/>
        </w:rPr>
        <w:t>100,7%. Это первый прирост индекса промышленного производства в помесячной динамике с января 2013 года. Наблюдается общее сокращение отставания индексов промышленного производства от результатов 2013 года. Превышение индекса промышленного производства в марте уровня марта 2013 года обеспечили химическая промышленность и нефтепереработка. Ситуация в машиностроении остается сложной, отставание от результатов 2013 года остается значительным.</w:t>
      </w:r>
    </w:p>
    <w:p w:rsidR="00A05DC2" w:rsidRPr="00A05DC2" w:rsidRDefault="00A05DC2" w:rsidP="00C11730">
      <w:pPr>
        <w:tabs>
          <w:tab w:val="left" w:pos="10773"/>
        </w:tabs>
        <w:ind w:right="281"/>
        <w:jc w:val="both"/>
        <w:rPr>
          <w:rFonts w:asciiTheme="majorHAnsi" w:hAnsiTheme="majorHAnsi"/>
          <w:sz w:val="24"/>
          <w:szCs w:val="24"/>
        </w:rPr>
      </w:pPr>
      <w:r w:rsidRPr="00995CBF">
        <w:rPr>
          <w:rFonts w:asciiTheme="majorHAnsi" w:hAnsiTheme="majorHAnsi"/>
          <w:b/>
          <w:sz w:val="24"/>
          <w:szCs w:val="24"/>
        </w:rPr>
        <w:t>Складские запасы</w:t>
      </w:r>
      <w:r w:rsidRPr="00A05DC2">
        <w:rPr>
          <w:rFonts w:asciiTheme="majorHAnsi" w:hAnsiTheme="majorHAnsi"/>
          <w:sz w:val="24"/>
          <w:szCs w:val="24"/>
        </w:rPr>
        <w:t xml:space="preserve"> – сокращение в марте на </w:t>
      </w:r>
      <w:r w:rsidRPr="00A05DC2">
        <w:rPr>
          <w:rFonts w:asciiTheme="majorHAnsi" w:hAnsiTheme="majorHAnsi"/>
          <w:sz w:val="24"/>
          <w:szCs w:val="24"/>
          <w:lang w:val="en-US"/>
        </w:rPr>
        <w:t>BYR</w:t>
      </w:r>
      <w:r w:rsidRPr="00A05DC2">
        <w:rPr>
          <w:rFonts w:asciiTheme="majorHAnsi" w:hAnsiTheme="majorHAnsi"/>
          <w:sz w:val="24"/>
          <w:szCs w:val="24"/>
        </w:rPr>
        <w:t xml:space="preserve"> 84,5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объем запасов на 1 апреля</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33 805,2 </w:t>
      </w:r>
      <w:proofErr w:type="spellStart"/>
      <w:r w:rsidRPr="00A05DC2">
        <w:rPr>
          <w:rFonts w:asciiTheme="majorHAnsi" w:hAnsiTheme="majorHAnsi"/>
          <w:sz w:val="24"/>
          <w:szCs w:val="24"/>
        </w:rPr>
        <w:t>млрд</w:t>
      </w:r>
      <w:proofErr w:type="spellEnd"/>
      <w:r w:rsidR="00995CBF">
        <w:rPr>
          <w:rFonts w:asciiTheme="majorHAnsi" w:hAnsiTheme="majorHAnsi"/>
          <w:sz w:val="24"/>
          <w:szCs w:val="24"/>
        </w:rPr>
        <w:t>,</w:t>
      </w:r>
      <w:r w:rsidRPr="00A05DC2">
        <w:rPr>
          <w:rFonts w:asciiTheme="majorHAnsi" w:hAnsiTheme="majorHAnsi"/>
          <w:sz w:val="24"/>
          <w:szCs w:val="24"/>
        </w:rPr>
        <w:t xml:space="preserve"> или 80,3% от среднемесячного объема производства. Наибольший прирост отмечен в производстве машин и оборудования (на </w:t>
      </w:r>
      <w:r w:rsidRPr="00A05DC2">
        <w:rPr>
          <w:rFonts w:asciiTheme="majorHAnsi" w:hAnsiTheme="majorHAnsi"/>
          <w:sz w:val="24"/>
          <w:szCs w:val="24"/>
          <w:lang w:val="en-US"/>
        </w:rPr>
        <w:t>BYR</w:t>
      </w:r>
      <w:r w:rsidRPr="00A05DC2">
        <w:rPr>
          <w:rFonts w:asciiTheme="majorHAnsi" w:hAnsiTheme="majorHAnsi"/>
          <w:sz w:val="24"/>
          <w:szCs w:val="24"/>
        </w:rPr>
        <w:t xml:space="preserve"> 383,2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Наибольшее сокращение</w:t>
      </w:r>
      <w:r w:rsidR="00995CBF">
        <w:rPr>
          <w:rFonts w:asciiTheme="majorHAnsi" w:hAnsiTheme="majorHAnsi"/>
          <w:sz w:val="24"/>
          <w:szCs w:val="24"/>
        </w:rPr>
        <w:t xml:space="preserve"> – </w:t>
      </w:r>
      <w:r w:rsidRPr="00A05DC2">
        <w:rPr>
          <w:rFonts w:asciiTheme="majorHAnsi" w:hAnsiTheme="majorHAnsi"/>
          <w:sz w:val="24"/>
          <w:szCs w:val="24"/>
        </w:rPr>
        <w:t>в</w:t>
      </w:r>
      <w:r w:rsidR="00995CBF">
        <w:rPr>
          <w:rFonts w:asciiTheme="majorHAnsi" w:hAnsiTheme="majorHAnsi"/>
          <w:sz w:val="24"/>
          <w:szCs w:val="24"/>
        </w:rPr>
        <w:t xml:space="preserve"> </w:t>
      </w:r>
      <w:r w:rsidRPr="00A05DC2">
        <w:rPr>
          <w:rFonts w:asciiTheme="majorHAnsi" w:hAnsiTheme="majorHAnsi"/>
          <w:sz w:val="24"/>
          <w:szCs w:val="24"/>
        </w:rPr>
        <w:t xml:space="preserve">производстве транспортных средств и оборудования (на </w:t>
      </w:r>
      <w:r w:rsidRPr="00A05DC2">
        <w:rPr>
          <w:rFonts w:asciiTheme="majorHAnsi" w:hAnsiTheme="majorHAnsi"/>
          <w:sz w:val="24"/>
          <w:szCs w:val="24"/>
          <w:lang w:val="en-US"/>
        </w:rPr>
        <w:t>BYR</w:t>
      </w:r>
      <w:r w:rsidRPr="00A05DC2">
        <w:rPr>
          <w:rFonts w:asciiTheme="majorHAnsi" w:hAnsiTheme="majorHAnsi"/>
          <w:sz w:val="24"/>
          <w:szCs w:val="24"/>
        </w:rPr>
        <w:t xml:space="preserve"> 699,6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были повторно уточнены данные по складским запасам на </w:t>
      </w:r>
      <w:proofErr w:type="spellStart"/>
      <w:r w:rsidRPr="00A05DC2">
        <w:rPr>
          <w:rFonts w:asciiTheme="majorHAnsi" w:hAnsiTheme="majorHAnsi"/>
          <w:sz w:val="24"/>
          <w:szCs w:val="24"/>
        </w:rPr>
        <w:t>МАЗе</w:t>
      </w:r>
      <w:proofErr w:type="spellEnd"/>
      <w:r w:rsidRPr="00A05DC2">
        <w:rPr>
          <w:rFonts w:asciiTheme="majorHAnsi" w:hAnsiTheme="majorHAnsi"/>
          <w:sz w:val="24"/>
          <w:szCs w:val="24"/>
        </w:rPr>
        <w:t>.  Количество грузовых автомобилей на складах снизилось на 663 единицы, что не находит отражения в приросте экспорта данной позиции. Количество седельных тягачей на складах снизилось на 241 единицу.</w:t>
      </w:r>
    </w:p>
    <w:p w:rsidR="00A05DC2" w:rsidRPr="00995CBF" w:rsidRDefault="00995CBF" w:rsidP="00C11730">
      <w:pPr>
        <w:tabs>
          <w:tab w:val="left" w:pos="10773"/>
        </w:tabs>
        <w:ind w:right="281"/>
        <w:jc w:val="both"/>
        <w:rPr>
          <w:rFonts w:asciiTheme="majorHAnsi" w:hAnsiTheme="majorHAnsi"/>
          <w:b/>
          <w:sz w:val="24"/>
          <w:szCs w:val="24"/>
        </w:rPr>
      </w:pPr>
      <w:r>
        <w:rPr>
          <w:rFonts w:asciiTheme="majorHAnsi" w:hAnsiTheme="majorHAnsi"/>
          <w:b/>
          <w:sz w:val="24"/>
          <w:szCs w:val="24"/>
        </w:rPr>
        <w:t>Финансовые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Чистая прибыль в январе-феврале 2014 года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1 785,2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в том числе в феврале</w:t>
      </w:r>
      <w:r w:rsidR="00995CBF">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1 083,7 млрд. Снижение относительно января-февраля 2013 года на </w:t>
      </w:r>
      <w:r w:rsidRPr="00A05DC2">
        <w:rPr>
          <w:rFonts w:asciiTheme="majorHAnsi" w:hAnsiTheme="majorHAnsi"/>
          <w:sz w:val="24"/>
          <w:szCs w:val="24"/>
          <w:lang w:val="en-US"/>
        </w:rPr>
        <w:t>BYR</w:t>
      </w:r>
      <w:r w:rsidRPr="00A05DC2">
        <w:rPr>
          <w:rFonts w:asciiTheme="majorHAnsi" w:hAnsiTheme="majorHAnsi"/>
          <w:sz w:val="24"/>
          <w:szCs w:val="24"/>
        </w:rPr>
        <w:t xml:space="preserve"> 2 423,4 </w:t>
      </w:r>
      <w:proofErr w:type="spellStart"/>
      <w:r w:rsidRPr="00A05DC2">
        <w:rPr>
          <w:rFonts w:asciiTheme="majorHAnsi" w:hAnsiTheme="majorHAnsi"/>
          <w:sz w:val="24"/>
          <w:szCs w:val="24"/>
        </w:rPr>
        <w:t>млрд</w:t>
      </w:r>
      <w:proofErr w:type="spellEnd"/>
      <w:r w:rsidR="00995CBF">
        <w:rPr>
          <w:rFonts w:asciiTheme="majorHAnsi" w:hAnsiTheme="majorHAnsi"/>
          <w:sz w:val="24"/>
          <w:szCs w:val="24"/>
        </w:rPr>
        <w:t>,</w:t>
      </w:r>
      <w:r w:rsidRPr="00A05DC2">
        <w:rPr>
          <w:rFonts w:asciiTheme="majorHAnsi" w:hAnsiTheme="majorHAnsi"/>
          <w:sz w:val="24"/>
          <w:szCs w:val="24"/>
        </w:rPr>
        <w:t xml:space="preserve"> или в 2,4 раза</w:t>
      </w:r>
      <w:r w:rsidR="00995CBF">
        <w:rPr>
          <w:rFonts w:asciiTheme="majorHAnsi" w:hAnsiTheme="majorHAnsi"/>
          <w:sz w:val="24"/>
          <w:szCs w:val="24"/>
        </w:rPr>
        <w:t>.</w:t>
      </w:r>
      <w:r w:rsidRPr="00A05DC2">
        <w:rPr>
          <w:rFonts w:asciiTheme="majorHAnsi" w:hAnsiTheme="majorHAnsi"/>
          <w:sz w:val="24"/>
          <w:szCs w:val="24"/>
        </w:rPr>
        <w:t xml:space="preserve"> Численность убыточных предприятий по сравнению с январем-февралем 2013 года выросла с 338 до 558 единиц, а чистые убытки убыточных предприятий</w:t>
      </w:r>
      <w:r w:rsidR="00995CBF">
        <w:rPr>
          <w:rFonts w:asciiTheme="majorHAnsi" w:hAnsiTheme="majorHAnsi"/>
          <w:sz w:val="24"/>
          <w:szCs w:val="24"/>
        </w:rPr>
        <w:t xml:space="preserve"> – </w:t>
      </w:r>
      <w:r w:rsidRPr="00A05DC2">
        <w:rPr>
          <w:rFonts w:asciiTheme="majorHAnsi" w:hAnsiTheme="majorHAnsi"/>
          <w:sz w:val="24"/>
          <w:szCs w:val="24"/>
        </w:rPr>
        <w:t>в</w:t>
      </w:r>
      <w:r w:rsidR="00995CBF">
        <w:rPr>
          <w:rFonts w:asciiTheme="majorHAnsi" w:hAnsiTheme="majorHAnsi"/>
          <w:sz w:val="24"/>
          <w:szCs w:val="24"/>
        </w:rPr>
        <w:t xml:space="preserve"> </w:t>
      </w:r>
      <w:r w:rsidRPr="00A05DC2">
        <w:rPr>
          <w:rFonts w:asciiTheme="majorHAnsi" w:hAnsiTheme="majorHAnsi"/>
          <w:sz w:val="24"/>
          <w:szCs w:val="24"/>
        </w:rPr>
        <w:t>2,2 раза</w:t>
      </w:r>
      <w:r w:rsidR="00995CBF">
        <w:rPr>
          <w:rFonts w:asciiTheme="majorHAnsi" w:hAnsiTheme="majorHAnsi"/>
          <w:sz w:val="24"/>
          <w:szCs w:val="24"/>
        </w:rPr>
        <w:t>,</w:t>
      </w:r>
      <w:r w:rsidRPr="00A05DC2">
        <w:rPr>
          <w:rFonts w:asciiTheme="majorHAnsi" w:hAnsiTheme="majorHAnsi"/>
          <w:sz w:val="24"/>
          <w:szCs w:val="24"/>
        </w:rPr>
        <w:t xml:space="preserve"> или на </w:t>
      </w:r>
      <w:r w:rsidRPr="00A05DC2">
        <w:rPr>
          <w:rFonts w:asciiTheme="majorHAnsi" w:hAnsiTheme="majorHAnsi"/>
          <w:sz w:val="24"/>
          <w:szCs w:val="24"/>
          <w:lang w:val="en-US"/>
        </w:rPr>
        <w:t>BYR</w:t>
      </w:r>
      <w:r w:rsidRPr="00A05DC2">
        <w:rPr>
          <w:rFonts w:asciiTheme="majorHAnsi" w:hAnsiTheme="majorHAnsi"/>
          <w:sz w:val="24"/>
          <w:szCs w:val="24"/>
        </w:rPr>
        <w:t xml:space="preserve"> 1 304,0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2 406,9 млрд. Удельный вес убыточных предприятий в отрасли на 1 марта 2014 года составил 29,1%. 5 отраслей промышленности убыточны</w:t>
      </w:r>
      <w:r w:rsidR="00995CBF">
        <w:rPr>
          <w:rFonts w:asciiTheme="majorHAnsi" w:hAnsiTheme="majorHAnsi"/>
          <w:sz w:val="24"/>
          <w:szCs w:val="24"/>
        </w:rPr>
        <w:t xml:space="preserve"> – </w:t>
      </w:r>
      <w:r w:rsidRPr="00A05DC2">
        <w:rPr>
          <w:rFonts w:asciiTheme="majorHAnsi" w:hAnsiTheme="majorHAnsi"/>
          <w:sz w:val="24"/>
          <w:szCs w:val="24"/>
        </w:rPr>
        <w:t>целлюлозно-бумажное производство (убытки за январь-февраль</w:t>
      </w:r>
      <w:r w:rsidR="00995CBF">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21,3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производство транспортных средств и оборудования (</w:t>
      </w:r>
      <w:r w:rsidRPr="00A05DC2">
        <w:rPr>
          <w:rFonts w:asciiTheme="majorHAnsi" w:hAnsiTheme="majorHAnsi"/>
          <w:sz w:val="24"/>
          <w:szCs w:val="24"/>
          <w:lang w:val="en-US"/>
        </w:rPr>
        <w:t>BYR</w:t>
      </w:r>
      <w:r w:rsidRPr="00A05DC2">
        <w:rPr>
          <w:rFonts w:asciiTheme="majorHAnsi" w:hAnsiTheme="majorHAnsi"/>
          <w:sz w:val="24"/>
          <w:szCs w:val="24"/>
        </w:rPr>
        <w:t xml:space="preserve"> 32,7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w:t>
      </w:r>
      <w:r w:rsidR="00995CBF">
        <w:rPr>
          <w:rFonts w:asciiTheme="majorHAnsi" w:hAnsiTheme="majorHAnsi"/>
          <w:sz w:val="24"/>
          <w:szCs w:val="24"/>
        </w:rPr>
        <w:t>,</w:t>
      </w:r>
      <w:r w:rsidRPr="00A05DC2">
        <w:rPr>
          <w:rFonts w:asciiTheme="majorHAnsi" w:hAnsiTheme="majorHAnsi"/>
          <w:sz w:val="24"/>
          <w:szCs w:val="24"/>
        </w:rPr>
        <w:t xml:space="preserve"> металлургическое производство (</w:t>
      </w:r>
      <w:r w:rsidRPr="00A05DC2">
        <w:rPr>
          <w:rFonts w:asciiTheme="majorHAnsi" w:hAnsiTheme="majorHAnsi"/>
          <w:sz w:val="24"/>
          <w:szCs w:val="24"/>
          <w:lang w:val="en-US"/>
        </w:rPr>
        <w:t>BYR</w:t>
      </w:r>
      <w:r w:rsidRPr="00A05DC2">
        <w:rPr>
          <w:rFonts w:asciiTheme="majorHAnsi" w:hAnsiTheme="majorHAnsi"/>
          <w:sz w:val="24"/>
          <w:szCs w:val="24"/>
        </w:rPr>
        <w:t xml:space="preserve"> 90,7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производство прочих неметаллических минеральных продуктов (</w:t>
      </w:r>
      <w:r w:rsidRPr="00A05DC2">
        <w:rPr>
          <w:rFonts w:asciiTheme="majorHAnsi" w:hAnsiTheme="majorHAnsi"/>
          <w:sz w:val="24"/>
          <w:szCs w:val="24"/>
          <w:lang w:val="en-US"/>
        </w:rPr>
        <w:t>BYR</w:t>
      </w:r>
      <w:r w:rsidRPr="00A05DC2">
        <w:rPr>
          <w:rFonts w:asciiTheme="majorHAnsi" w:hAnsiTheme="majorHAnsi"/>
          <w:sz w:val="24"/>
          <w:szCs w:val="24"/>
        </w:rPr>
        <w:t xml:space="preserve"> 380,4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производство машин и оборудования (</w:t>
      </w:r>
      <w:r w:rsidRPr="00A05DC2">
        <w:rPr>
          <w:rFonts w:asciiTheme="majorHAnsi" w:hAnsiTheme="majorHAnsi"/>
          <w:sz w:val="24"/>
          <w:szCs w:val="24"/>
          <w:lang w:val="en-US"/>
        </w:rPr>
        <w:t>BYR</w:t>
      </w:r>
      <w:r w:rsidRPr="00A05DC2">
        <w:rPr>
          <w:rFonts w:asciiTheme="majorHAnsi" w:hAnsiTheme="majorHAnsi"/>
          <w:sz w:val="24"/>
          <w:szCs w:val="24"/>
        </w:rPr>
        <w:t xml:space="preserve"> 503,1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Кредиторская задолженность на 1 марта</w:t>
      </w:r>
      <w:r w:rsidR="00995CBF">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87,2 трлн. Прирост за февраль </w:t>
      </w:r>
      <w:r w:rsidR="00995CBF">
        <w:rPr>
          <w:rFonts w:asciiTheme="majorHAnsi" w:hAnsiTheme="majorHAnsi"/>
          <w:sz w:val="24"/>
          <w:szCs w:val="24"/>
        </w:rPr>
        <w:t>–</w:t>
      </w:r>
      <w:r w:rsidRPr="00A05DC2">
        <w:rPr>
          <w:rFonts w:asciiTheme="majorHAnsi" w:hAnsiTheme="majorHAnsi"/>
          <w:sz w:val="24"/>
          <w:szCs w:val="24"/>
        </w:rPr>
        <w:t xml:space="preserve"> 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1,3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в том числе по налогам и сборам</w:t>
      </w:r>
      <w:r w:rsidR="00995CBF">
        <w:rPr>
          <w:rFonts w:asciiTheme="majorHAnsi" w:hAnsiTheme="majorHAnsi"/>
          <w:sz w:val="24"/>
          <w:szCs w:val="24"/>
        </w:rPr>
        <w:t xml:space="preserve"> – </w:t>
      </w:r>
      <w:r w:rsidRPr="00A05DC2">
        <w:rPr>
          <w:rFonts w:asciiTheme="majorHAnsi" w:hAnsiTheme="majorHAnsi"/>
          <w:sz w:val="24"/>
          <w:szCs w:val="24"/>
        </w:rPr>
        <w:t>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814,5 млрд. Задолженность за топливно-энергетические ресурсы в феврале снизилась на </w:t>
      </w:r>
      <w:r w:rsidRPr="00A05DC2">
        <w:rPr>
          <w:rFonts w:asciiTheme="majorHAnsi" w:hAnsiTheme="majorHAnsi"/>
          <w:sz w:val="24"/>
          <w:szCs w:val="24"/>
          <w:lang w:val="en-US"/>
        </w:rPr>
        <w:t>BYR</w:t>
      </w:r>
      <w:r w:rsidRPr="00A05DC2">
        <w:rPr>
          <w:rFonts w:asciiTheme="majorHAnsi" w:hAnsiTheme="majorHAnsi"/>
          <w:sz w:val="24"/>
          <w:szCs w:val="24"/>
        </w:rPr>
        <w:t xml:space="preserve"> 834,2 млрд. Просроченная кредиторская задолженность на 1 март</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13,5 трлн. За февраль</w:t>
      </w:r>
      <w:r w:rsidR="00995CBF">
        <w:rPr>
          <w:rFonts w:asciiTheme="majorHAnsi" w:hAnsiTheme="majorHAnsi"/>
          <w:sz w:val="24"/>
          <w:szCs w:val="24"/>
        </w:rPr>
        <w:t xml:space="preserve"> – </w:t>
      </w:r>
      <w:r w:rsidRPr="00A05DC2">
        <w:rPr>
          <w:rFonts w:asciiTheme="majorHAnsi" w:hAnsiTheme="majorHAnsi"/>
          <w:sz w:val="24"/>
          <w:szCs w:val="24"/>
        </w:rPr>
        <w:t>прирост</w:t>
      </w:r>
      <w:r w:rsidR="00995CBF">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208,1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в том числе, за топливно-энергетические ресурсы </w:t>
      </w:r>
      <w:r w:rsidR="00995CBF">
        <w:rPr>
          <w:rFonts w:asciiTheme="majorHAnsi" w:hAnsiTheme="majorHAnsi"/>
          <w:sz w:val="24"/>
          <w:szCs w:val="24"/>
        </w:rPr>
        <w:t>–</w:t>
      </w:r>
      <w:r w:rsidRPr="00A05DC2">
        <w:rPr>
          <w:rFonts w:asciiTheme="majorHAnsi" w:hAnsiTheme="majorHAnsi"/>
          <w:sz w:val="24"/>
          <w:szCs w:val="24"/>
        </w:rPr>
        <w:t xml:space="preserve"> 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286</w:t>
      </w:r>
      <w:proofErr w:type="gramStart"/>
      <w:r w:rsidRPr="00A05DC2">
        <w:rPr>
          <w:rFonts w:asciiTheme="majorHAnsi" w:hAnsiTheme="majorHAnsi"/>
          <w:sz w:val="24"/>
          <w:szCs w:val="24"/>
        </w:rPr>
        <w:t>,4</w:t>
      </w:r>
      <w:proofErr w:type="gramEnd"/>
      <w:r w:rsidRPr="00A05DC2">
        <w:rPr>
          <w:rFonts w:asciiTheme="majorHAnsi" w:hAnsiTheme="majorHAnsi"/>
          <w:sz w:val="24"/>
          <w:szCs w:val="24"/>
        </w:rPr>
        <w:t xml:space="preserve"> млрд. По налогам и сборам</w:t>
      </w:r>
      <w:r w:rsidR="00995CBF">
        <w:rPr>
          <w:rFonts w:asciiTheme="majorHAnsi" w:hAnsiTheme="majorHAnsi"/>
          <w:sz w:val="24"/>
          <w:szCs w:val="24"/>
        </w:rPr>
        <w:t xml:space="preserve"> произошло</w:t>
      </w:r>
      <w:r w:rsidRPr="00A05DC2">
        <w:rPr>
          <w:rFonts w:asciiTheme="majorHAnsi" w:hAnsiTheme="majorHAnsi"/>
          <w:sz w:val="24"/>
          <w:szCs w:val="24"/>
        </w:rPr>
        <w:t xml:space="preserve"> сокращение на </w:t>
      </w:r>
      <w:r w:rsidRPr="00A05DC2">
        <w:rPr>
          <w:rFonts w:asciiTheme="majorHAnsi" w:hAnsiTheme="majorHAnsi"/>
          <w:sz w:val="24"/>
          <w:szCs w:val="24"/>
          <w:lang w:val="en-US"/>
        </w:rPr>
        <w:t>BYR</w:t>
      </w:r>
      <w:r w:rsidRPr="00A05DC2">
        <w:rPr>
          <w:rFonts w:asciiTheme="majorHAnsi" w:hAnsiTheme="majorHAnsi"/>
          <w:sz w:val="24"/>
          <w:szCs w:val="24"/>
        </w:rPr>
        <w:t xml:space="preserve"> 28,3 млрд. Удельный вес просроченной  задолженности на 1 марта </w:t>
      </w:r>
      <w:r w:rsidR="00995CBF">
        <w:rPr>
          <w:rFonts w:asciiTheme="majorHAnsi" w:hAnsiTheme="majorHAnsi"/>
          <w:sz w:val="24"/>
          <w:szCs w:val="24"/>
        </w:rPr>
        <w:t xml:space="preserve">– </w:t>
      </w:r>
      <w:r w:rsidRPr="00A05DC2">
        <w:rPr>
          <w:rFonts w:asciiTheme="majorHAnsi" w:hAnsiTheme="majorHAnsi"/>
          <w:sz w:val="24"/>
          <w:szCs w:val="24"/>
        </w:rPr>
        <w:t>15,53%</w:t>
      </w:r>
      <w:r w:rsidR="00995CBF">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Дебиторская задолженность на 1 марта</w:t>
      </w:r>
      <w:r w:rsidR="00995CBF">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101,2 трлн. Прирост за февраль –</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2,6 трлн. Просроченная дебиторская задолженность на 1 марта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00995CBF">
        <w:rPr>
          <w:rFonts w:asciiTheme="majorHAnsi" w:hAnsiTheme="majorHAnsi"/>
          <w:sz w:val="24"/>
          <w:szCs w:val="24"/>
        </w:rPr>
        <w:t xml:space="preserve"> </w:t>
      </w:r>
      <w:r w:rsidRPr="00A05DC2">
        <w:rPr>
          <w:rFonts w:asciiTheme="majorHAnsi" w:hAnsiTheme="majorHAnsi"/>
          <w:sz w:val="24"/>
          <w:szCs w:val="24"/>
        </w:rPr>
        <w:t>17,6 трлн. За февраль</w:t>
      </w:r>
      <w:r w:rsidR="00995CBF">
        <w:rPr>
          <w:rFonts w:asciiTheme="majorHAnsi" w:hAnsiTheme="majorHAnsi"/>
          <w:sz w:val="24"/>
          <w:szCs w:val="24"/>
        </w:rPr>
        <w:t xml:space="preserve"> </w:t>
      </w:r>
      <w:r w:rsidRPr="00A05DC2">
        <w:rPr>
          <w:rFonts w:asciiTheme="majorHAnsi" w:hAnsiTheme="majorHAnsi"/>
          <w:sz w:val="24"/>
          <w:szCs w:val="24"/>
        </w:rPr>
        <w:t xml:space="preserve">рост на </w:t>
      </w:r>
      <w:r w:rsidRPr="00A05DC2">
        <w:rPr>
          <w:rFonts w:asciiTheme="majorHAnsi" w:hAnsiTheme="majorHAnsi"/>
          <w:sz w:val="24"/>
          <w:szCs w:val="24"/>
          <w:lang w:val="en-US"/>
        </w:rPr>
        <w:t>BYR</w:t>
      </w:r>
      <w:r w:rsidRPr="00A05DC2">
        <w:rPr>
          <w:rFonts w:asciiTheme="majorHAnsi" w:hAnsiTheme="majorHAnsi"/>
          <w:sz w:val="24"/>
          <w:szCs w:val="24"/>
        </w:rPr>
        <w:t xml:space="preserve"> 1,3 трлн. Удельный вес просроченной дебиторской задолженности – 17,37%.</w:t>
      </w:r>
    </w:p>
    <w:p w:rsidR="00A05DC2" w:rsidRDefault="00A05DC2" w:rsidP="00C11730">
      <w:pPr>
        <w:tabs>
          <w:tab w:val="left" w:pos="10773"/>
        </w:tabs>
        <w:ind w:right="281"/>
        <w:jc w:val="both"/>
        <w:rPr>
          <w:rFonts w:asciiTheme="majorHAnsi" w:hAnsiTheme="majorHAnsi"/>
          <w:sz w:val="24"/>
          <w:szCs w:val="24"/>
        </w:rPr>
      </w:pPr>
    </w:p>
    <w:p w:rsidR="00995CBF" w:rsidRPr="00A05DC2" w:rsidRDefault="00995CBF" w:rsidP="00C11730">
      <w:pPr>
        <w:tabs>
          <w:tab w:val="left" w:pos="10773"/>
        </w:tabs>
        <w:ind w:right="281"/>
        <w:jc w:val="both"/>
        <w:rPr>
          <w:rFonts w:asciiTheme="majorHAnsi" w:hAnsiTheme="majorHAnsi"/>
          <w:sz w:val="24"/>
          <w:szCs w:val="24"/>
        </w:rPr>
      </w:pP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lang w:val="en-US"/>
        </w:rPr>
        <w:lastRenderedPageBreak/>
        <w:t>I</w:t>
      </w:r>
      <w:r w:rsidRPr="00995CBF">
        <w:rPr>
          <w:rFonts w:asciiTheme="majorHAnsi" w:hAnsiTheme="majorHAnsi"/>
          <w:b/>
          <w:sz w:val="24"/>
          <w:szCs w:val="24"/>
        </w:rPr>
        <w:t>.1. Пищевая промышленность</w:t>
      </w: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rPr>
        <w:t>Производственные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производства продукции за январь-март 2014 года </w:t>
      </w:r>
      <w:r w:rsidR="00995CBF">
        <w:rPr>
          <w:rFonts w:asciiTheme="majorHAnsi" w:hAnsiTheme="majorHAnsi"/>
          <w:sz w:val="24"/>
          <w:szCs w:val="24"/>
        </w:rPr>
        <w:t xml:space="preserve">составил </w:t>
      </w:r>
      <w:r w:rsidRPr="00A05DC2">
        <w:rPr>
          <w:rFonts w:asciiTheme="majorHAnsi" w:hAnsiTheme="majorHAnsi"/>
          <w:sz w:val="24"/>
          <w:szCs w:val="24"/>
          <w:lang w:val="en-US"/>
        </w:rPr>
        <w:t>BYR</w:t>
      </w:r>
      <w:r w:rsidRPr="00A05DC2">
        <w:rPr>
          <w:rFonts w:asciiTheme="majorHAnsi" w:hAnsiTheme="majorHAnsi"/>
          <w:sz w:val="24"/>
          <w:szCs w:val="24"/>
        </w:rPr>
        <w:t xml:space="preserve"> 34,6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xml:space="preserve"> (1 место в промышленности). Индекс промышленного производства</w:t>
      </w:r>
      <w:r w:rsidR="00995CBF">
        <w:rPr>
          <w:rFonts w:asciiTheme="majorHAnsi" w:hAnsiTheme="majorHAnsi"/>
          <w:sz w:val="24"/>
          <w:szCs w:val="24"/>
        </w:rPr>
        <w:t xml:space="preserve"> – </w:t>
      </w:r>
      <w:r w:rsidRPr="00A05DC2">
        <w:rPr>
          <w:rFonts w:asciiTheme="majorHAnsi" w:hAnsiTheme="majorHAnsi"/>
          <w:sz w:val="24"/>
          <w:szCs w:val="24"/>
        </w:rPr>
        <w:t>95,3% к январю-марту 2013 года, в том числе март</w:t>
      </w:r>
      <w:r w:rsidR="00995CBF">
        <w:rPr>
          <w:rFonts w:asciiTheme="majorHAnsi" w:hAnsiTheme="majorHAnsi"/>
          <w:sz w:val="24"/>
          <w:szCs w:val="24"/>
        </w:rPr>
        <w:t xml:space="preserve"> – </w:t>
      </w:r>
      <w:r w:rsidRPr="00A05DC2">
        <w:rPr>
          <w:rFonts w:asciiTheme="majorHAnsi" w:hAnsiTheme="majorHAnsi"/>
          <w:sz w:val="24"/>
          <w:szCs w:val="24"/>
        </w:rPr>
        <w:t>95,2%. Падение производства происходит по причине снижения объемов говядины и свинины, ожидаемого снижения производства сахара (снижение квот на импорт сахара-тростника),</w:t>
      </w:r>
      <w:r w:rsidRPr="00A05DC2">
        <w:rPr>
          <w:rFonts w:asciiTheme="majorHAnsi" w:hAnsiTheme="majorHAnsi"/>
          <w:i/>
          <w:sz w:val="24"/>
          <w:szCs w:val="24"/>
        </w:rPr>
        <w:t xml:space="preserve"> </w:t>
      </w:r>
      <w:r w:rsidRPr="00A05DC2">
        <w:rPr>
          <w:rFonts w:asciiTheme="majorHAnsi" w:hAnsiTheme="majorHAnsi"/>
          <w:sz w:val="24"/>
          <w:szCs w:val="24"/>
        </w:rPr>
        <w:t>падение выпуска алкогольной продукции-водки, вин игристых и виноградных.</w:t>
      </w:r>
      <w:r w:rsidRPr="00A05DC2">
        <w:rPr>
          <w:rFonts w:asciiTheme="majorHAnsi" w:hAnsiTheme="majorHAnsi"/>
          <w:i/>
          <w:sz w:val="24"/>
          <w:szCs w:val="24"/>
        </w:rPr>
        <w:t xml:space="preserve"> </w:t>
      </w:r>
      <w:r w:rsidRPr="00A05DC2">
        <w:rPr>
          <w:rFonts w:asciiTheme="majorHAnsi" w:hAnsiTheme="majorHAnsi"/>
          <w:sz w:val="24"/>
          <w:szCs w:val="24"/>
        </w:rPr>
        <w:t>Растет производство консервированного картофеля, плодоовощных консервов, маргарина.</w:t>
      </w:r>
      <w:r w:rsidRPr="00A05DC2">
        <w:rPr>
          <w:rFonts w:asciiTheme="majorHAnsi" w:hAnsiTheme="majorHAnsi"/>
          <w:i/>
          <w:sz w:val="24"/>
          <w:szCs w:val="24"/>
        </w:rPr>
        <w:t xml:space="preserve"> </w:t>
      </w:r>
      <w:r w:rsidRPr="00A05DC2">
        <w:rPr>
          <w:rFonts w:asciiTheme="majorHAnsi" w:hAnsiTheme="majorHAnsi"/>
          <w:sz w:val="24"/>
          <w:szCs w:val="24"/>
        </w:rPr>
        <w:t xml:space="preserve">Складские запасы </w:t>
      </w:r>
      <w:r w:rsidR="00995CBF">
        <w:rPr>
          <w:rFonts w:asciiTheme="majorHAnsi" w:hAnsiTheme="majorHAnsi"/>
          <w:sz w:val="24"/>
          <w:szCs w:val="24"/>
        </w:rPr>
        <w:t>–</w:t>
      </w:r>
      <w:r w:rsidRPr="00A05DC2">
        <w:rPr>
          <w:rFonts w:asciiTheme="majorHAnsi" w:hAnsiTheme="majorHAnsi"/>
          <w:sz w:val="24"/>
          <w:szCs w:val="24"/>
        </w:rPr>
        <w:t xml:space="preserve"> рост</w:t>
      </w:r>
      <w:r w:rsidR="00995CBF">
        <w:rPr>
          <w:rFonts w:asciiTheme="majorHAnsi" w:hAnsiTheme="majorHAnsi"/>
          <w:sz w:val="24"/>
          <w:szCs w:val="24"/>
        </w:rPr>
        <w:t xml:space="preserve"> </w:t>
      </w:r>
      <w:r w:rsidRPr="00A05DC2">
        <w:rPr>
          <w:rFonts w:asciiTheme="majorHAnsi" w:hAnsiTheme="majorHAnsi"/>
          <w:sz w:val="24"/>
          <w:szCs w:val="24"/>
        </w:rPr>
        <w:t xml:space="preserve">в марте на </w:t>
      </w:r>
      <w:r w:rsidRPr="00A05DC2">
        <w:rPr>
          <w:rFonts w:asciiTheme="majorHAnsi" w:hAnsiTheme="majorHAnsi"/>
          <w:sz w:val="24"/>
          <w:szCs w:val="24"/>
          <w:lang w:val="en-US"/>
        </w:rPr>
        <w:t>BYR</w:t>
      </w:r>
      <w:r w:rsidRPr="00A05DC2">
        <w:rPr>
          <w:rFonts w:asciiTheme="majorHAnsi" w:hAnsiTheme="majorHAnsi"/>
          <w:sz w:val="24"/>
          <w:szCs w:val="24"/>
        </w:rPr>
        <w:t xml:space="preserve"> 273,7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объем запасов на 1 апреля</w:t>
      </w:r>
      <w:r w:rsidR="00995CBF">
        <w:rPr>
          <w:rFonts w:asciiTheme="majorHAnsi" w:hAnsiTheme="majorHAnsi"/>
          <w:sz w:val="24"/>
          <w:szCs w:val="24"/>
        </w:rPr>
        <w:t xml:space="preserve"> – </w:t>
      </w:r>
      <w:r w:rsidRPr="00A05DC2">
        <w:rPr>
          <w:rFonts w:asciiTheme="majorHAnsi" w:hAnsiTheme="majorHAnsi"/>
          <w:sz w:val="24"/>
          <w:szCs w:val="24"/>
          <w:lang w:val="en-US"/>
        </w:rPr>
        <w:t>BYR</w:t>
      </w:r>
      <w:r w:rsidR="00995CBF">
        <w:rPr>
          <w:rFonts w:asciiTheme="majorHAnsi" w:hAnsiTheme="majorHAnsi"/>
          <w:sz w:val="24"/>
          <w:szCs w:val="24"/>
        </w:rPr>
        <w:t xml:space="preserve"> 6 406,4 </w:t>
      </w:r>
      <w:proofErr w:type="spellStart"/>
      <w:r w:rsidR="00995CBF">
        <w:rPr>
          <w:rFonts w:asciiTheme="majorHAnsi" w:hAnsiTheme="majorHAnsi"/>
          <w:sz w:val="24"/>
          <w:szCs w:val="24"/>
        </w:rPr>
        <w:t>млрд</w:t>
      </w:r>
      <w:proofErr w:type="spellEnd"/>
      <w:r w:rsidR="00995CBF">
        <w:rPr>
          <w:rFonts w:asciiTheme="majorHAnsi" w:hAnsiTheme="majorHAnsi"/>
          <w:sz w:val="24"/>
          <w:szCs w:val="24"/>
        </w:rPr>
        <w:t>,</w:t>
      </w:r>
      <w:r w:rsidRPr="00A05DC2">
        <w:rPr>
          <w:rFonts w:asciiTheme="majorHAnsi" w:hAnsiTheme="majorHAnsi"/>
          <w:sz w:val="24"/>
          <w:szCs w:val="24"/>
        </w:rPr>
        <w:t xml:space="preserve"> или 67,1% от среднемесячного объема производства. Наибольший прирост запасов в марте</w:t>
      </w:r>
      <w:r w:rsidR="00995CBF">
        <w:rPr>
          <w:rFonts w:asciiTheme="majorHAnsi" w:hAnsiTheme="majorHAnsi"/>
          <w:sz w:val="24"/>
          <w:szCs w:val="24"/>
        </w:rPr>
        <w:t xml:space="preserve"> – </w:t>
      </w:r>
      <w:r w:rsidRPr="00A05DC2">
        <w:rPr>
          <w:rFonts w:asciiTheme="majorHAnsi" w:hAnsiTheme="majorHAnsi"/>
          <w:sz w:val="24"/>
          <w:szCs w:val="24"/>
        </w:rPr>
        <w:t>по</w:t>
      </w:r>
      <w:r w:rsidR="00995CBF">
        <w:rPr>
          <w:rFonts w:asciiTheme="majorHAnsi" w:hAnsiTheme="majorHAnsi"/>
          <w:sz w:val="24"/>
          <w:szCs w:val="24"/>
        </w:rPr>
        <w:t xml:space="preserve"> </w:t>
      </w:r>
      <w:r w:rsidRPr="00A05DC2">
        <w:rPr>
          <w:rFonts w:asciiTheme="majorHAnsi" w:hAnsiTheme="majorHAnsi"/>
          <w:sz w:val="24"/>
          <w:szCs w:val="24"/>
        </w:rPr>
        <w:t xml:space="preserve">консервам молочным, маслу сливочному и сыру. Сокращение – крахмалы, коньяк, солод. </w:t>
      </w: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rPr>
        <w:t>Финансовые по</w:t>
      </w:r>
      <w:r w:rsidR="00995CBF">
        <w:rPr>
          <w:rFonts w:asciiTheme="majorHAnsi" w:hAnsiTheme="majorHAnsi"/>
          <w:b/>
          <w:sz w:val="24"/>
          <w:szCs w:val="24"/>
        </w:rPr>
        <w:t>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Чистая прибыль в январе-феврале 2014 года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275,5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в том числе в феврале</w:t>
      </w:r>
      <w:r w:rsidR="00995CBF">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99,0 млрд. Снижение относительно января-февраля 2013 года на </w:t>
      </w:r>
      <w:r w:rsidRPr="00A05DC2">
        <w:rPr>
          <w:rFonts w:asciiTheme="majorHAnsi" w:hAnsiTheme="majorHAnsi"/>
          <w:sz w:val="24"/>
          <w:szCs w:val="24"/>
          <w:lang w:val="en-US"/>
        </w:rPr>
        <w:t>BYR</w:t>
      </w:r>
      <w:r w:rsidRPr="00A05DC2">
        <w:rPr>
          <w:rFonts w:asciiTheme="majorHAnsi" w:hAnsiTheme="majorHAnsi"/>
          <w:sz w:val="24"/>
          <w:szCs w:val="24"/>
        </w:rPr>
        <w:t xml:space="preserve"> 398,2 </w:t>
      </w:r>
      <w:proofErr w:type="spellStart"/>
      <w:r w:rsidRPr="00A05DC2">
        <w:rPr>
          <w:rFonts w:asciiTheme="majorHAnsi" w:hAnsiTheme="majorHAnsi"/>
          <w:sz w:val="24"/>
          <w:szCs w:val="24"/>
        </w:rPr>
        <w:t>млрд</w:t>
      </w:r>
      <w:proofErr w:type="spellEnd"/>
      <w:r w:rsidR="00995CBF">
        <w:rPr>
          <w:rFonts w:asciiTheme="majorHAnsi" w:hAnsiTheme="majorHAnsi"/>
          <w:sz w:val="24"/>
          <w:szCs w:val="24"/>
        </w:rPr>
        <w:t>,</w:t>
      </w:r>
      <w:r w:rsidRPr="00A05DC2">
        <w:rPr>
          <w:rFonts w:asciiTheme="majorHAnsi" w:hAnsiTheme="majorHAnsi"/>
          <w:sz w:val="24"/>
          <w:szCs w:val="24"/>
        </w:rPr>
        <w:t xml:space="preserve"> или в 2,5 раза. Численность убыточных предприятий по сравнению с январем-февралем 2013 года выросла с 62 до 92 единиц, а чистые убытки убыточных предприятий</w:t>
      </w:r>
      <w:r w:rsidR="00995CBF">
        <w:rPr>
          <w:rFonts w:asciiTheme="majorHAnsi" w:hAnsiTheme="majorHAnsi"/>
          <w:sz w:val="24"/>
          <w:szCs w:val="24"/>
        </w:rPr>
        <w:t xml:space="preserve"> – </w:t>
      </w:r>
      <w:r w:rsidRPr="00A05DC2">
        <w:rPr>
          <w:rFonts w:asciiTheme="majorHAnsi" w:hAnsiTheme="majorHAnsi"/>
          <w:sz w:val="24"/>
          <w:szCs w:val="24"/>
        </w:rPr>
        <w:t>на 89,0%</w:t>
      </w:r>
      <w:r w:rsidR="00995CBF">
        <w:rPr>
          <w:rFonts w:asciiTheme="majorHAnsi" w:hAnsiTheme="majorHAnsi"/>
          <w:sz w:val="24"/>
          <w:szCs w:val="24"/>
        </w:rPr>
        <w:t>,</w:t>
      </w:r>
      <w:r w:rsidRPr="00A05DC2">
        <w:rPr>
          <w:rFonts w:asciiTheme="majorHAnsi" w:hAnsiTheme="majorHAnsi"/>
          <w:sz w:val="24"/>
          <w:szCs w:val="24"/>
        </w:rPr>
        <w:t xml:space="preserve"> или на </w:t>
      </w:r>
      <w:r w:rsidRPr="00A05DC2">
        <w:rPr>
          <w:rFonts w:asciiTheme="majorHAnsi" w:hAnsiTheme="majorHAnsi"/>
          <w:sz w:val="24"/>
          <w:szCs w:val="24"/>
          <w:lang w:val="en-US"/>
        </w:rPr>
        <w:t>BYR</w:t>
      </w:r>
      <w:r w:rsidRPr="00A05DC2">
        <w:rPr>
          <w:rFonts w:asciiTheme="majorHAnsi" w:hAnsiTheme="majorHAnsi"/>
          <w:sz w:val="24"/>
          <w:szCs w:val="24"/>
        </w:rPr>
        <w:t xml:space="preserve"> 259,9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551,7 млрд. Удельный вес убыточных предприятий в отрасли на 1 март</w:t>
      </w:r>
      <w:r w:rsidR="00995CBF">
        <w:rPr>
          <w:rFonts w:asciiTheme="majorHAnsi" w:hAnsiTheme="majorHAnsi"/>
          <w:sz w:val="24"/>
          <w:szCs w:val="24"/>
        </w:rPr>
        <w:t>а</w:t>
      </w:r>
      <w:r w:rsidRPr="00A05DC2">
        <w:rPr>
          <w:rFonts w:asciiTheme="majorHAnsi" w:hAnsiTheme="majorHAnsi"/>
          <w:sz w:val="24"/>
          <w:szCs w:val="24"/>
        </w:rPr>
        <w:t xml:space="preserve"> 2014 года составил 27,4 %.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Кредиторская задолженность на 1 марта</w:t>
      </w:r>
      <w:r w:rsidR="00995CBF">
        <w:rPr>
          <w:rFonts w:asciiTheme="majorHAnsi" w:hAnsiTheme="majorHAnsi"/>
          <w:sz w:val="24"/>
          <w:szCs w:val="24"/>
        </w:rPr>
        <w:t xml:space="preserve"> – </w:t>
      </w:r>
      <w:r w:rsidRPr="00A05DC2">
        <w:rPr>
          <w:rFonts w:asciiTheme="majorHAnsi" w:hAnsiTheme="majorHAnsi"/>
          <w:sz w:val="24"/>
          <w:szCs w:val="24"/>
          <w:lang w:val="en-US"/>
        </w:rPr>
        <w:t>B</w:t>
      </w:r>
      <w:r w:rsidR="00995CBF">
        <w:rPr>
          <w:rFonts w:asciiTheme="majorHAnsi" w:hAnsiTheme="majorHAnsi"/>
          <w:sz w:val="24"/>
          <w:szCs w:val="24"/>
          <w:lang w:val="en-US"/>
        </w:rPr>
        <w:t>Y</w:t>
      </w:r>
      <w:r w:rsidRPr="00A05DC2">
        <w:rPr>
          <w:rFonts w:asciiTheme="majorHAnsi" w:hAnsiTheme="majorHAnsi"/>
          <w:sz w:val="24"/>
          <w:szCs w:val="24"/>
          <w:lang w:val="en-US"/>
        </w:rPr>
        <w:t>R</w:t>
      </w:r>
      <w:r w:rsidRPr="00A05DC2">
        <w:rPr>
          <w:rFonts w:asciiTheme="majorHAnsi" w:hAnsiTheme="majorHAnsi"/>
          <w:sz w:val="24"/>
          <w:szCs w:val="24"/>
        </w:rPr>
        <w:t xml:space="preserve"> 18 284,3 млрд. Прирост за январь </w:t>
      </w:r>
      <w:r w:rsidR="00995CBF">
        <w:rPr>
          <w:rFonts w:asciiTheme="majorHAnsi" w:hAnsiTheme="majorHAnsi"/>
          <w:sz w:val="24"/>
          <w:szCs w:val="24"/>
        </w:rPr>
        <w:t>–</w:t>
      </w:r>
      <w:r w:rsidRPr="00A05DC2">
        <w:rPr>
          <w:rFonts w:asciiTheme="majorHAnsi" w:hAnsiTheme="majorHAnsi"/>
          <w:sz w:val="24"/>
          <w:szCs w:val="24"/>
        </w:rPr>
        <w:t xml:space="preserve"> 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775,2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(максимальный прирост среди всех видов промышленного производства), в том числе по налогам и сборам</w:t>
      </w:r>
      <w:r w:rsidR="00995CBF">
        <w:rPr>
          <w:rFonts w:asciiTheme="majorHAnsi" w:hAnsiTheme="majorHAnsi"/>
          <w:sz w:val="24"/>
          <w:szCs w:val="24"/>
        </w:rPr>
        <w:t xml:space="preserve"> – </w:t>
      </w:r>
      <w:r w:rsidRPr="00A05DC2">
        <w:rPr>
          <w:rFonts w:asciiTheme="majorHAnsi" w:hAnsiTheme="majorHAnsi"/>
          <w:sz w:val="24"/>
          <w:szCs w:val="24"/>
        </w:rPr>
        <w:t>на</w:t>
      </w:r>
      <w:r w:rsidR="00995CBF">
        <w:rPr>
          <w:rFonts w:asciiTheme="majorHAnsi" w:hAnsiTheme="majorHAnsi"/>
          <w:sz w:val="24"/>
          <w:szCs w:val="24"/>
        </w:rPr>
        <w:t xml:space="preserve"> </w:t>
      </w:r>
      <w:r w:rsidR="00995CBF">
        <w:rPr>
          <w:rFonts w:asciiTheme="majorHAnsi" w:hAnsiTheme="majorHAnsi"/>
          <w:sz w:val="24"/>
          <w:szCs w:val="24"/>
          <w:lang w:val="en-US"/>
        </w:rPr>
        <w:t>B</w:t>
      </w:r>
      <w:r w:rsidRPr="00A05DC2">
        <w:rPr>
          <w:rFonts w:asciiTheme="majorHAnsi" w:hAnsiTheme="majorHAnsi"/>
          <w:sz w:val="24"/>
          <w:szCs w:val="24"/>
          <w:lang w:val="en-US"/>
        </w:rPr>
        <w:t>YR</w:t>
      </w:r>
      <w:r w:rsidRPr="00A05DC2">
        <w:rPr>
          <w:rFonts w:asciiTheme="majorHAnsi" w:hAnsiTheme="majorHAnsi"/>
          <w:sz w:val="24"/>
          <w:szCs w:val="24"/>
        </w:rPr>
        <w:t xml:space="preserve"> 297,2 млрд. Основной объем прироста кредиторской задолженности относится к внутриреспубликанским расчетам. Просроченная кредиторская задолженность на 1 марта</w:t>
      </w:r>
      <w:r w:rsidR="00995CBF">
        <w:rPr>
          <w:rFonts w:asciiTheme="majorHAnsi" w:hAnsiTheme="majorHAnsi"/>
          <w:sz w:val="24"/>
          <w:szCs w:val="24"/>
        </w:rPr>
        <w:t xml:space="preserve"> составила </w:t>
      </w:r>
      <w:r w:rsidRPr="00A05DC2">
        <w:rPr>
          <w:rFonts w:asciiTheme="majorHAnsi" w:hAnsiTheme="majorHAnsi"/>
          <w:sz w:val="24"/>
          <w:szCs w:val="24"/>
          <w:lang w:val="en-US"/>
        </w:rPr>
        <w:t>BYR</w:t>
      </w:r>
      <w:r w:rsidRPr="00A05DC2">
        <w:rPr>
          <w:rFonts w:asciiTheme="majorHAnsi" w:hAnsiTheme="majorHAnsi"/>
          <w:sz w:val="24"/>
          <w:szCs w:val="24"/>
        </w:rPr>
        <w:t xml:space="preserve"> 3 400,8 млрд. За февраль</w:t>
      </w:r>
      <w:r w:rsidR="00995CBF">
        <w:rPr>
          <w:rFonts w:asciiTheme="majorHAnsi" w:hAnsiTheme="majorHAnsi"/>
          <w:sz w:val="24"/>
          <w:szCs w:val="24"/>
        </w:rPr>
        <w:t xml:space="preserve"> – </w:t>
      </w:r>
      <w:r w:rsidRPr="00A05DC2">
        <w:rPr>
          <w:rFonts w:asciiTheme="majorHAnsi" w:hAnsiTheme="majorHAnsi"/>
          <w:sz w:val="24"/>
          <w:szCs w:val="24"/>
        </w:rPr>
        <w:t>прирост</w:t>
      </w:r>
      <w:r w:rsidR="00995CBF">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33,6 млрд. Прирост просроченной задолженности обеспечили расчеты с внешними контрагентами, несвоевременные расчеты во внутриреспубликанских расчетах сократились на </w:t>
      </w:r>
      <w:r w:rsidRPr="00A05DC2">
        <w:rPr>
          <w:rFonts w:asciiTheme="majorHAnsi" w:hAnsiTheme="majorHAnsi"/>
          <w:sz w:val="24"/>
          <w:szCs w:val="24"/>
          <w:lang w:val="en-US"/>
        </w:rPr>
        <w:t>BYR</w:t>
      </w:r>
      <w:r w:rsidRPr="00A05DC2">
        <w:rPr>
          <w:rFonts w:asciiTheme="majorHAnsi" w:hAnsiTheme="majorHAnsi"/>
          <w:sz w:val="24"/>
          <w:szCs w:val="24"/>
        </w:rPr>
        <w:t xml:space="preserve"> 27,0 млрд. Удельный вес просроченной  задолженности на 1 марта </w:t>
      </w:r>
      <w:r w:rsidR="00995CBF">
        <w:rPr>
          <w:rFonts w:asciiTheme="majorHAnsi" w:hAnsiTheme="majorHAnsi"/>
          <w:sz w:val="24"/>
          <w:szCs w:val="24"/>
        </w:rPr>
        <w:t xml:space="preserve">– </w:t>
      </w:r>
      <w:r w:rsidRPr="00A05DC2">
        <w:rPr>
          <w:rFonts w:asciiTheme="majorHAnsi" w:hAnsiTheme="majorHAnsi"/>
          <w:sz w:val="24"/>
          <w:szCs w:val="24"/>
        </w:rPr>
        <w:t>18,60%, (выше среднего значения по промышленности).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Дебиторская задолженность на 1 марта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21 750,3 млрд. Прирост за февраль –</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1 209,6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(наибольший прирост среди видов промышленного производства). Основной объем прироста обеспечили внутриреспубликанские расчеты. Просроченная дебиторская задолженность на 1 марта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3 810,5 млрд. За февраль</w:t>
      </w:r>
      <w:r w:rsidR="00995CBF">
        <w:rPr>
          <w:rFonts w:asciiTheme="majorHAnsi" w:hAnsiTheme="majorHAnsi"/>
          <w:sz w:val="24"/>
          <w:szCs w:val="24"/>
        </w:rPr>
        <w:t xml:space="preserve"> – </w:t>
      </w:r>
      <w:r w:rsidRPr="00A05DC2">
        <w:rPr>
          <w:rFonts w:asciiTheme="majorHAnsi" w:hAnsiTheme="majorHAnsi"/>
          <w:sz w:val="24"/>
          <w:szCs w:val="24"/>
        </w:rPr>
        <w:t xml:space="preserve">рост на </w:t>
      </w:r>
      <w:r w:rsidRPr="00A05DC2">
        <w:rPr>
          <w:rFonts w:asciiTheme="majorHAnsi" w:hAnsiTheme="majorHAnsi"/>
          <w:sz w:val="24"/>
          <w:szCs w:val="24"/>
          <w:lang w:val="en-US"/>
        </w:rPr>
        <w:t>BYR</w:t>
      </w:r>
      <w:r w:rsidRPr="00A05DC2">
        <w:rPr>
          <w:rFonts w:asciiTheme="majorHAnsi" w:hAnsiTheme="majorHAnsi"/>
          <w:sz w:val="24"/>
          <w:szCs w:val="24"/>
        </w:rPr>
        <w:t xml:space="preserve"> 183,5 млрд. Удельный вес просроченной дебиторской задолженности – 17,52%, (на уровне среднего значения по промышленности). Отрасль является чистым кредитором остальных видов деятельности ввиду необходимости авансирования закупки сырья у сельскохозяйственных предприятий.</w:t>
      </w: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rPr>
        <w:t>Текущая ситуация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Молокоперерабатывающая промышленность столкнулась с проблемой перепроизводства молока за пределами стран ТС</w:t>
      </w:r>
      <w:r w:rsidR="00995CBF">
        <w:rPr>
          <w:rFonts w:asciiTheme="majorHAnsi" w:hAnsiTheme="majorHAnsi"/>
          <w:sz w:val="24"/>
          <w:szCs w:val="24"/>
        </w:rPr>
        <w:t xml:space="preserve"> – </w:t>
      </w:r>
      <w:r w:rsidRPr="00A05DC2">
        <w:rPr>
          <w:rFonts w:asciiTheme="majorHAnsi" w:hAnsiTheme="majorHAnsi"/>
          <w:sz w:val="24"/>
          <w:szCs w:val="24"/>
        </w:rPr>
        <w:t>в</w:t>
      </w:r>
      <w:r w:rsidR="00995CBF">
        <w:rPr>
          <w:rFonts w:asciiTheme="majorHAnsi" w:hAnsiTheme="majorHAnsi"/>
          <w:sz w:val="24"/>
          <w:szCs w:val="24"/>
        </w:rPr>
        <w:t xml:space="preserve"> </w:t>
      </w:r>
      <w:r w:rsidRPr="00A05DC2">
        <w:rPr>
          <w:rFonts w:asciiTheme="majorHAnsi" w:hAnsiTheme="majorHAnsi"/>
          <w:sz w:val="24"/>
          <w:szCs w:val="24"/>
        </w:rPr>
        <w:t xml:space="preserve">Новой Зеландии, Австралии, странах ЕС, что приводит к росту поставок в Россию и снижению цен на российском рынке. Оказывает влияние и фактор существенного ослабления курса российского рубля. Происходит падение валютной выручки в долларах США. </w:t>
      </w:r>
      <w:r w:rsidR="00995CBF">
        <w:rPr>
          <w:rFonts w:asciiTheme="majorHAnsi" w:hAnsiTheme="majorHAnsi"/>
          <w:sz w:val="24"/>
          <w:szCs w:val="24"/>
        </w:rPr>
        <w:t>Остается</w:t>
      </w:r>
      <w:r w:rsidRPr="00A05DC2">
        <w:rPr>
          <w:rFonts w:asciiTheme="majorHAnsi" w:hAnsiTheme="majorHAnsi"/>
          <w:sz w:val="24"/>
          <w:szCs w:val="24"/>
        </w:rPr>
        <w:t xml:space="preserve"> нерешенной проблема с производством молока внутри страны.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производство молока снизилось на 2,6% к уровню марта 2013 года. Проблему производства молока пытаются решить посредством передачи в доверительное управление </w:t>
      </w:r>
      <w:r w:rsidRPr="00A05DC2">
        <w:rPr>
          <w:rFonts w:asciiTheme="majorHAnsi" w:hAnsiTheme="majorHAnsi"/>
          <w:sz w:val="24"/>
          <w:szCs w:val="24"/>
        </w:rPr>
        <w:lastRenderedPageBreak/>
        <w:t xml:space="preserve">ряда сельскохозяйственных организаций предприятиям частной формы собственности. Возникли проблемы с реализацией молочной продукции через биржу. Продажа продукции на данной площадке может осуществляться только по индикативным ценам, которые находились на уровне выше сложившегося на рынке. Несвоевременная реакция Минсельхозпрода на изменение текущих цен на рынке приводит наращиванию складских запасов по молочной продукции.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по этой причине продажи сливочного масла не осуществлялись.</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После введения запрета на поставки мяса из ряда стран ЕС, белорусские </w:t>
      </w:r>
      <w:proofErr w:type="spellStart"/>
      <w:r w:rsidRPr="00A05DC2">
        <w:rPr>
          <w:rFonts w:asciiTheme="majorHAnsi" w:hAnsiTheme="majorHAnsi"/>
          <w:sz w:val="24"/>
          <w:szCs w:val="24"/>
        </w:rPr>
        <w:t>мясопереработчики</w:t>
      </w:r>
      <w:proofErr w:type="spellEnd"/>
      <w:r w:rsidRPr="00A05DC2">
        <w:rPr>
          <w:rFonts w:asciiTheme="majorHAnsi" w:hAnsiTheme="majorHAnsi"/>
          <w:sz w:val="24"/>
          <w:szCs w:val="24"/>
        </w:rPr>
        <w:t xml:space="preserve"> ощутили нехватку сырья. Цены на российском рынке побили исторические рекорды </w:t>
      </w:r>
      <w:r w:rsidR="00995CBF">
        <w:rPr>
          <w:rFonts w:asciiTheme="majorHAnsi" w:hAnsiTheme="majorHAnsi"/>
          <w:sz w:val="24"/>
          <w:szCs w:val="24"/>
        </w:rPr>
        <w:t>–</w:t>
      </w:r>
      <w:r w:rsidRPr="00A05DC2">
        <w:rPr>
          <w:rFonts w:asciiTheme="majorHAnsi" w:hAnsiTheme="majorHAnsi"/>
          <w:sz w:val="24"/>
          <w:szCs w:val="24"/>
        </w:rPr>
        <w:t xml:space="preserve"> оптовая</w:t>
      </w:r>
      <w:r w:rsidR="00995CBF">
        <w:rPr>
          <w:rFonts w:asciiTheme="majorHAnsi" w:hAnsiTheme="majorHAnsi"/>
          <w:sz w:val="24"/>
          <w:szCs w:val="24"/>
        </w:rPr>
        <w:t xml:space="preserve"> </w:t>
      </w:r>
      <w:r w:rsidRPr="00A05DC2">
        <w:rPr>
          <w:rFonts w:asciiTheme="majorHAnsi" w:hAnsiTheme="majorHAnsi"/>
          <w:sz w:val="24"/>
          <w:szCs w:val="24"/>
        </w:rPr>
        <w:t xml:space="preserve">стоимость живых свиней с начала 2014 года выросла на 40% и превысила отметку в </w:t>
      </w:r>
      <w:r w:rsidRPr="00A05DC2">
        <w:rPr>
          <w:rFonts w:asciiTheme="majorHAnsi" w:hAnsiTheme="majorHAnsi"/>
          <w:sz w:val="24"/>
          <w:szCs w:val="24"/>
          <w:lang w:val="en-US"/>
        </w:rPr>
        <w:t>RUB</w:t>
      </w:r>
      <w:r w:rsidRPr="00A05DC2">
        <w:rPr>
          <w:rFonts w:asciiTheme="majorHAnsi" w:hAnsiTheme="majorHAnsi"/>
          <w:sz w:val="24"/>
          <w:szCs w:val="24"/>
        </w:rPr>
        <w:t xml:space="preserve"> 100 за килограмм. С учетом сложившейся ситуации российская сторона прорабатывает варианты поставок свинины из Китая. Белорусская сторона не может воспользоваться благоприятной ценовой ситуацией ввиду продолжения тенденции сокращения поголовья свиней и необходимости удовлетворения спроса со стороны отечественных мясокомбинатов на свинину. Экспорт свинины из Беларуси упал на 40 % по итогам января-февраля 2014 года, живые свиньи из Беларуси в Россию с начала года не поставлялись. Нехватка свинины стала благоприятным фактором для производителей мяса птицы. Экспортные цены превысили отметку в </w:t>
      </w:r>
      <w:r w:rsidRPr="00A05DC2">
        <w:rPr>
          <w:rFonts w:asciiTheme="majorHAnsi" w:hAnsiTheme="majorHAnsi"/>
          <w:sz w:val="24"/>
          <w:szCs w:val="24"/>
          <w:lang w:val="en-US"/>
        </w:rPr>
        <w:t>RUB</w:t>
      </w:r>
      <w:r w:rsidRPr="00A05DC2">
        <w:rPr>
          <w:rFonts w:asciiTheme="majorHAnsi" w:hAnsiTheme="majorHAnsi"/>
          <w:sz w:val="24"/>
          <w:szCs w:val="24"/>
        </w:rPr>
        <w:t xml:space="preserve"> 76 за килограмм, однако сохраняется определенное отставание от цен на птицу на внутреннем рынке. Производители колбасных изделий пытаются замещать свинину птицей, дополнительным фактором роста цен стало ограничение поставок птицы из Украины в Россию, что привело к повышению спроса и цен на отечественную продукцию. Рост цен на мясо птицы в России может сохраниться до осени 2014 года. В отличие от производителей свинины, производство мяса птицы в Беларуси растет</w:t>
      </w:r>
      <w:r w:rsidR="00995CBF">
        <w:rPr>
          <w:rFonts w:asciiTheme="majorHAnsi" w:hAnsiTheme="majorHAnsi"/>
          <w:sz w:val="24"/>
          <w:szCs w:val="24"/>
        </w:rPr>
        <w:t xml:space="preserve"> – </w:t>
      </w:r>
      <w:r w:rsidRPr="00A05DC2">
        <w:rPr>
          <w:rFonts w:asciiTheme="majorHAnsi" w:hAnsiTheme="majorHAnsi"/>
          <w:sz w:val="24"/>
          <w:szCs w:val="24"/>
        </w:rPr>
        <w:t>по итогам первого квартала 2014 года объем производства вырос на 4,8% к аналогичному периоду 2013 года. Благоприятная конъюнктура цен может положительно сказаться на финансовом состоянии птицефабрик.</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Неопределенная ситуация складывается со ставками акцизов на алкоголь в рамках Таможенного союза. Предполагался постепенный рост ставок с выходом на единый уровень к 2021 году. Однако существенное падение производства водки и смещение спроса в сторону суррогатной продукции подняли вопрос о дальнейших темпах роста акцизов. Белорусские производители опасаются роста поставок алкоголя из России в связи с исчезновением государственного регулирования этого рынка с 2015 года. Экспортные поставки алкоголя из Беларуси носят точечный характер и неспособны оказать существенного влияния на отрасль.</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 1 мая 2014 года вводится лицензирование импорта пива</w:t>
      </w:r>
      <w:r w:rsidR="00995CBF">
        <w:rPr>
          <w:rFonts w:asciiTheme="majorHAnsi" w:hAnsiTheme="majorHAnsi"/>
          <w:sz w:val="24"/>
          <w:szCs w:val="24"/>
        </w:rPr>
        <w:t xml:space="preserve"> </w:t>
      </w:r>
      <w:r w:rsidRPr="00A05DC2">
        <w:rPr>
          <w:rFonts w:asciiTheme="majorHAnsi" w:hAnsiTheme="majorHAnsi"/>
          <w:sz w:val="24"/>
          <w:szCs w:val="24"/>
        </w:rPr>
        <w:t xml:space="preserve">из-за пределов таможенной территории Таможенного союза. Целью данного постановления является ограничение импорта пива на фоне падения объемов производства отечественными производителями. Не исключается национализация одного из частных пивоваренных заводов в случае продолжения им </w:t>
      </w:r>
      <w:proofErr w:type="spellStart"/>
      <w:r w:rsidRPr="00A05DC2">
        <w:rPr>
          <w:rFonts w:asciiTheme="majorHAnsi" w:hAnsiTheme="majorHAnsi"/>
          <w:sz w:val="24"/>
          <w:szCs w:val="24"/>
        </w:rPr>
        <w:t>низкорентабельной</w:t>
      </w:r>
      <w:proofErr w:type="spellEnd"/>
      <w:r w:rsidRPr="00A05DC2">
        <w:rPr>
          <w:rFonts w:asciiTheme="majorHAnsi" w:hAnsiTheme="majorHAnsi"/>
          <w:sz w:val="24"/>
          <w:szCs w:val="24"/>
        </w:rPr>
        <w:t xml:space="preserve"> работы.</w:t>
      </w:r>
    </w:p>
    <w:p w:rsid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Снижение квот на импорт сахара-сырца в рамках ТС негативно влияет на производственные показатели сахарных заводов Беларуси. </w:t>
      </w:r>
      <w:proofErr w:type="spellStart"/>
      <w:r w:rsidRPr="00A05DC2">
        <w:rPr>
          <w:rFonts w:asciiTheme="majorHAnsi" w:hAnsiTheme="majorHAnsi"/>
          <w:sz w:val="24"/>
          <w:szCs w:val="24"/>
        </w:rPr>
        <w:t>Жабинковский</w:t>
      </w:r>
      <w:proofErr w:type="spellEnd"/>
      <w:r w:rsidRPr="00A05DC2">
        <w:rPr>
          <w:rFonts w:asciiTheme="majorHAnsi" w:hAnsiTheme="majorHAnsi"/>
          <w:sz w:val="24"/>
          <w:szCs w:val="24"/>
        </w:rPr>
        <w:t xml:space="preserve"> сахарный завод не выпускал сахар в феврале и марте, что привело к общему падению производства в </w:t>
      </w:r>
      <w:r w:rsidR="00995CBF">
        <w:rPr>
          <w:rFonts w:asciiTheme="majorHAnsi" w:hAnsiTheme="majorHAnsi"/>
          <w:sz w:val="24"/>
          <w:szCs w:val="24"/>
          <w:lang w:val="en-US"/>
        </w:rPr>
        <w:t>I</w:t>
      </w:r>
      <w:r w:rsidRPr="00A05DC2">
        <w:rPr>
          <w:rFonts w:asciiTheme="majorHAnsi" w:hAnsiTheme="majorHAnsi"/>
          <w:sz w:val="24"/>
          <w:szCs w:val="24"/>
        </w:rPr>
        <w:t xml:space="preserve"> квартале данной продукции на предприятии в 9 раз к аналогичному периоду 2013 года. По итогам </w:t>
      </w:r>
      <w:r w:rsidR="00995CBF">
        <w:rPr>
          <w:rFonts w:asciiTheme="majorHAnsi" w:hAnsiTheme="majorHAnsi"/>
          <w:sz w:val="24"/>
          <w:szCs w:val="24"/>
          <w:lang w:val="en-US"/>
        </w:rPr>
        <w:t>I</w:t>
      </w:r>
      <w:r w:rsidRPr="00A05DC2">
        <w:rPr>
          <w:rFonts w:asciiTheme="majorHAnsi" w:hAnsiTheme="majorHAnsi"/>
          <w:sz w:val="24"/>
          <w:szCs w:val="24"/>
        </w:rPr>
        <w:t xml:space="preserve"> квартала общее падение производства сахара в стране превысило 40% к аналогичному периоду 2013 года. Неблагоприятная картина по данной продукции складывается и на внешних рынках. Помимо снижения объемов экспорта продукции снизилась средняя экспортная цена на сахар на 6,7% относительно января</w:t>
      </w:r>
      <w:r w:rsidR="00995CBF">
        <w:rPr>
          <w:rFonts w:asciiTheme="majorHAnsi" w:hAnsiTheme="majorHAnsi"/>
          <w:sz w:val="24"/>
          <w:szCs w:val="24"/>
        </w:rPr>
        <w:t>-</w:t>
      </w:r>
      <w:r w:rsidRPr="00A05DC2">
        <w:rPr>
          <w:rFonts w:asciiTheme="majorHAnsi" w:hAnsiTheme="majorHAnsi"/>
          <w:sz w:val="24"/>
          <w:szCs w:val="24"/>
        </w:rPr>
        <w:t>февраля 2013 года.</w:t>
      </w:r>
    </w:p>
    <w:p w:rsidR="00995CBF" w:rsidRPr="00A05DC2" w:rsidRDefault="00995CBF" w:rsidP="00C11730">
      <w:pPr>
        <w:tabs>
          <w:tab w:val="left" w:pos="10773"/>
        </w:tabs>
        <w:ind w:right="281"/>
        <w:jc w:val="both"/>
        <w:rPr>
          <w:rFonts w:asciiTheme="majorHAnsi" w:hAnsiTheme="majorHAnsi"/>
          <w:sz w:val="24"/>
          <w:szCs w:val="24"/>
        </w:rPr>
      </w:pP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lang w:val="en-US"/>
        </w:rPr>
        <w:lastRenderedPageBreak/>
        <w:t>I</w:t>
      </w:r>
      <w:r w:rsidRPr="00995CBF">
        <w:rPr>
          <w:rFonts w:asciiTheme="majorHAnsi" w:hAnsiTheme="majorHAnsi"/>
          <w:b/>
          <w:sz w:val="24"/>
          <w:szCs w:val="24"/>
        </w:rPr>
        <w:t xml:space="preserve">.2. Нефтеперерабатывающая промышленность </w:t>
      </w: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rPr>
        <w:t>Производственные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производства продукции за январь-март 2014 года </w:t>
      </w:r>
      <w:r w:rsidRPr="00A05DC2">
        <w:rPr>
          <w:rFonts w:asciiTheme="majorHAnsi" w:hAnsiTheme="majorHAnsi"/>
          <w:sz w:val="24"/>
          <w:szCs w:val="24"/>
          <w:lang w:val="en-US"/>
        </w:rPr>
        <w:t>BYR</w:t>
      </w:r>
      <w:r w:rsidRPr="00A05DC2">
        <w:rPr>
          <w:rFonts w:asciiTheme="majorHAnsi" w:hAnsiTheme="majorHAnsi"/>
          <w:sz w:val="24"/>
          <w:szCs w:val="24"/>
        </w:rPr>
        <w:t xml:space="preserve"> 27,4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xml:space="preserve"> (2 место в промышленности). Индекс промышленного производства</w:t>
      </w:r>
      <w:r w:rsidR="00995CBF">
        <w:rPr>
          <w:rFonts w:asciiTheme="majorHAnsi" w:hAnsiTheme="majorHAnsi"/>
          <w:sz w:val="24"/>
          <w:szCs w:val="24"/>
        </w:rPr>
        <w:t xml:space="preserve"> – </w:t>
      </w:r>
      <w:r w:rsidRPr="00A05DC2">
        <w:rPr>
          <w:rFonts w:asciiTheme="majorHAnsi" w:hAnsiTheme="majorHAnsi"/>
          <w:sz w:val="24"/>
          <w:szCs w:val="24"/>
        </w:rPr>
        <w:t>103,6% к январю-марту 2013 года, в том числе март</w:t>
      </w:r>
      <w:r w:rsidR="00995CBF">
        <w:rPr>
          <w:rFonts w:asciiTheme="majorHAnsi" w:hAnsiTheme="majorHAnsi"/>
          <w:sz w:val="24"/>
          <w:szCs w:val="24"/>
        </w:rPr>
        <w:t xml:space="preserve"> – </w:t>
      </w:r>
      <w:r w:rsidRPr="00A05DC2">
        <w:rPr>
          <w:rFonts w:asciiTheme="majorHAnsi" w:hAnsiTheme="majorHAnsi"/>
          <w:sz w:val="24"/>
          <w:szCs w:val="24"/>
        </w:rPr>
        <w:t>106,2%. Рост производства отмечен по газойлям и маслам смазочным</w:t>
      </w:r>
      <w:r w:rsidRPr="00A05DC2">
        <w:rPr>
          <w:rFonts w:asciiTheme="majorHAnsi" w:hAnsiTheme="majorHAnsi"/>
          <w:i/>
          <w:sz w:val="24"/>
          <w:szCs w:val="24"/>
        </w:rPr>
        <w:t xml:space="preserve">. </w:t>
      </w:r>
      <w:r w:rsidRPr="00A05DC2">
        <w:rPr>
          <w:rFonts w:asciiTheme="majorHAnsi" w:hAnsiTheme="majorHAnsi"/>
          <w:sz w:val="24"/>
          <w:szCs w:val="24"/>
        </w:rPr>
        <w:t>По основным товарным позициям в марте отмечен рост объемов производства к марту 2013 года: бензин</w:t>
      </w:r>
      <w:r w:rsidR="00995CBF">
        <w:rPr>
          <w:rFonts w:asciiTheme="majorHAnsi" w:hAnsiTheme="majorHAnsi"/>
          <w:sz w:val="24"/>
          <w:szCs w:val="24"/>
        </w:rPr>
        <w:t xml:space="preserve"> – </w:t>
      </w:r>
      <w:r w:rsidRPr="00A05DC2">
        <w:rPr>
          <w:rFonts w:asciiTheme="majorHAnsi" w:hAnsiTheme="majorHAnsi"/>
          <w:sz w:val="24"/>
          <w:szCs w:val="24"/>
        </w:rPr>
        <w:t>на 1,2%, газойли</w:t>
      </w:r>
      <w:r w:rsidR="00995CBF">
        <w:rPr>
          <w:rFonts w:asciiTheme="majorHAnsi" w:hAnsiTheme="majorHAnsi"/>
          <w:sz w:val="24"/>
          <w:szCs w:val="24"/>
        </w:rPr>
        <w:t xml:space="preserve"> – </w:t>
      </w:r>
      <w:r w:rsidRPr="00A05DC2">
        <w:rPr>
          <w:rFonts w:asciiTheme="majorHAnsi" w:hAnsiTheme="majorHAnsi"/>
          <w:sz w:val="24"/>
          <w:szCs w:val="24"/>
        </w:rPr>
        <w:t>на</w:t>
      </w:r>
      <w:r w:rsidR="00995CBF">
        <w:rPr>
          <w:rFonts w:asciiTheme="majorHAnsi" w:hAnsiTheme="majorHAnsi"/>
          <w:sz w:val="24"/>
          <w:szCs w:val="24"/>
        </w:rPr>
        <w:t xml:space="preserve"> </w:t>
      </w:r>
      <w:r w:rsidRPr="00A05DC2">
        <w:rPr>
          <w:rFonts w:asciiTheme="majorHAnsi" w:hAnsiTheme="majorHAnsi"/>
          <w:sz w:val="24"/>
          <w:szCs w:val="24"/>
        </w:rPr>
        <w:t xml:space="preserve">8,3%, масла смазочные </w:t>
      </w:r>
      <w:r w:rsidR="00995CBF">
        <w:rPr>
          <w:rFonts w:asciiTheme="majorHAnsi" w:hAnsiTheme="majorHAnsi"/>
          <w:sz w:val="24"/>
          <w:szCs w:val="24"/>
        </w:rPr>
        <w:t>–</w:t>
      </w:r>
      <w:r w:rsidRPr="00A05DC2">
        <w:rPr>
          <w:rFonts w:asciiTheme="majorHAnsi" w:hAnsiTheme="majorHAnsi"/>
          <w:sz w:val="24"/>
          <w:szCs w:val="24"/>
        </w:rPr>
        <w:t xml:space="preserve"> в</w:t>
      </w:r>
      <w:r w:rsidR="00995CBF">
        <w:rPr>
          <w:rFonts w:asciiTheme="majorHAnsi" w:hAnsiTheme="majorHAnsi"/>
          <w:sz w:val="24"/>
          <w:szCs w:val="24"/>
        </w:rPr>
        <w:t xml:space="preserve"> </w:t>
      </w:r>
      <w:r w:rsidRPr="00A05DC2">
        <w:rPr>
          <w:rFonts w:asciiTheme="majorHAnsi" w:hAnsiTheme="majorHAnsi"/>
          <w:sz w:val="24"/>
          <w:szCs w:val="24"/>
        </w:rPr>
        <w:t>2 раза. Объемы производства мазута снизились на 9,2%</w:t>
      </w:r>
      <w:r w:rsidR="00995CBF">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Складские запасы</w:t>
      </w:r>
      <w:r w:rsidR="00995CBF">
        <w:rPr>
          <w:rFonts w:asciiTheme="majorHAnsi" w:hAnsiTheme="majorHAnsi"/>
          <w:sz w:val="24"/>
          <w:szCs w:val="24"/>
        </w:rPr>
        <w:t xml:space="preserve"> – </w:t>
      </w:r>
      <w:r w:rsidRPr="00A05DC2">
        <w:rPr>
          <w:rFonts w:asciiTheme="majorHAnsi" w:hAnsiTheme="majorHAnsi"/>
          <w:sz w:val="24"/>
          <w:szCs w:val="24"/>
        </w:rPr>
        <w:t>прирост</w:t>
      </w:r>
      <w:r w:rsidR="00995CBF">
        <w:rPr>
          <w:rFonts w:asciiTheme="majorHAnsi" w:hAnsiTheme="majorHAnsi"/>
          <w:sz w:val="24"/>
          <w:szCs w:val="24"/>
        </w:rPr>
        <w:t xml:space="preserve"> </w:t>
      </w:r>
      <w:r w:rsidRPr="00A05DC2">
        <w:rPr>
          <w:rFonts w:asciiTheme="majorHAnsi" w:hAnsiTheme="majorHAnsi"/>
          <w:sz w:val="24"/>
          <w:szCs w:val="24"/>
        </w:rPr>
        <w:t xml:space="preserve">в марте на </w:t>
      </w:r>
      <w:r w:rsidRPr="00A05DC2">
        <w:rPr>
          <w:rFonts w:asciiTheme="majorHAnsi" w:hAnsiTheme="majorHAnsi"/>
          <w:sz w:val="24"/>
          <w:szCs w:val="24"/>
          <w:lang w:val="en-US"/>
        </w:rPr>
        <w:t>BYR</w:t>
      </w:r>
      <w:r w:rsidRPr="00A05DC2">
        <w:rPr>
          <w:rFonts w:asciiTheme="majorHAnsi" w:hAnsiTheme="majorHAnsi"/>
          <w:sz w:val="24"/>
          <w:szCs w:val="24"/>
        </w:rPr>
        <w:t xml:space="preserve"> 57,4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объем запасов на 1 апреля</w:t>
      </w:r>
      <w:r w:rsidR="00995CBF">
        <w:rPr>
          <w:rFonts w:asciiTheme="majorHAnsi" w:hAnsiTheme="majorHAnsi"/>
          <w:sz w:val="24"/>
          <w:szCs w:val="24"/>
        </w:rPr>
        <w:t xml:space="preserve"> – </w:t>
      </w:r>
      <w:r w:rsidRPr="00A05DC2">
        <w:rPr>
          <w:rFonts w:asciiTheme="majorHAnsi" w:hAnsiTheme="majorHAnsi"/>
          <w:sz w:val="24"/>
          <w:szCs w:val="24"/>
          <w:lang w:val="en-US"/>
        </w:rPr>
        <w:t>BYR</w:t>
      </w:r>
      <w:r w:rsidR="00995CBF">
        <w:rPr>
          <w:rFonts w:asciiTheme="majorHAnsi" w:hAnsiTheme="majorHAnsi"/>
          <w:sz w:val="24"/>
          <w:szCs w:val="24"/>
        </w:rPr>
        <w:t xml:space="preserve"> 230,4 </w:t>
      </w:r>
      <w:proofErr w:type="spellStart"/>
      <w:r w:rsidR="00995CBF">
        <w:rPr>
          <w:rFonts w:asciiTheme="majorHAnsi" w:hAnsiTheme="majorHAnsi"/>
          <w:sz w:val="24"/>
          <w:szCs w:val="24"/>
        </w:rPr>
        <w:t>млрд</w:t>
      </w:r>
      <w:proofErr w:type="spellEnd"/>
      <w:r w:rsidRPr="00A05DC2">
        <w:rPr>
          <w:rFonts w:asciiTheme="majorHAnsi" w:hAnsiTheme="majorHAnsi"/>
          <w:sz w:val="24"/>
          <w:szCs w:val="24"/>
        </w:rPr>
        <w:t xml:space="preserve"> (наименьший объем в обрабатывающей промышленности)</w:t>
      </w:r>
      <w:r w:rsidR="00995CBF">
        <w:rPr>
          <w:rFonts w:asciiTheme="majorHAnsi" w:hAnsiTheme="majorHAnsi"/>
          <w:sz w:val="24"/>
          <w:szCs w:val="24"/>
        </w:rPr>
        <w:t>.</w:t>
      </w:r>
    </w:p>
    <w:p w:rsidR="00A05DC2" w:rsidRPr="00995CBF" w:rsidRDefault="00995CBF" w:rsidP="00C11730">
      <w:pPr>
        <w:tabs>
          <w:tab w:val="left" w:pos="10773"/>
        </w:tabs>
        <w:ind w:right="281"/>
        <w:jc w:val="both"/>
        <w:rPr>
          <w:rFonts w:asciiTheme="majorHAnsi" w:hAnsiTheme="majorHAnsi"/>
          <w:b/>
          <w:sz w:val="24"/>
          <w:szCs w:val="24"/>
        </w:rPr>
      </w:pPr>
      <w:r>
        <w:rPr>
          <w:rFonts w:asciiTheme="majorHAnsi" w:hAnsiTheme="majorHAnsi"/>
          <w:b/>
          <w:sz w:val="24"/>
          <w:szCs w:val="24"/>
        </w:rPr>
        <w:t>Финансовые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Чистая прибыль в январе-феврале 2014 года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513,6 млрд. Снижение относительно января-февраля 2013 года на </w:t>
      </w:r>
      <w:r w:rsidRPr="00A05DC2">
        <w:rPr>
          <w:rFonts w:asciiTheme="majorHAnsi" w:hAnsiTheme="majorHAnsi"/>
          <w:sz w:val="24"/>
          <w:szCs w:val="24"/>
          <w:lang w:val="en-US"/>
        </w:rPr>
        <w:t>BYR</w:t>
      </w:r>
      <w:r w:rsidRPr="00A05DC2">
        <w:rPr>
          <w:rFonts w:asciiTheme="majorHAnsi" w:hAnsiTheme="majorHAnsi"/>
          <w:sz w:val="24"/>
          <w:szCs w:val="24"/>
        </w:rPr>
        <w:t xml:space="preserve"> 41,9 </w:t>
      </w:r>
      <w:proofErr w:type="spellStart"/>
      <w:proofErr w:type="gramStart"/>
      <w:r w:rsidRPr="00A05DC2">
        <w:rPr>
          <w:rFonts w:asciiTheme="majorHAnsi" w:hAnsiTheme="majorHAnsi"/>
          <w:sz w:val="24"/>
          <w:szCs w:val="24"/>
        </w:rPr>
        <w:t>млрд</w:t>
      </w:r>
      <w:proofErr w:type="spellEnd"/>
      <w:proofErr w:type="gramEnd"/>
      <w:r w:rsidR="00995CBF">
        <w:rPr>
          <w:rFonts w:asciiTheme="majorHAnsi" w:hAnsiTheme="majorHAnsi"/>
          <w:sz w:val="24"/>
          <w:szCs w:val="24"/>
        </w:rPr>
        <w:t>,</w:t>
      </w:r>
      <w:r w:rsidRPr="00A05DC2">
        <w:rPr>
          <w:rFonts w:asciiTheme="majorHAnsi" w:hAnsiTheme="majorHAnsi"/>
          <w:sz w:val="24"/>
          <w:szCs w:val="24"/>
        </w:rPr>
        <w:t xml:space="preserve"> или на 7,5%. Единственный вид промышленного производства, в котором отсутствуют убыточные предприятия. Основной объем прибыли заработал в феврале </w:t>
      </w:r>
      <w:proofErr w:type="spellStart"/>
      <w:r w:rsidRPr="00A05DC2">
        <w:rPr>
          <w:rFonts w:asciiTheme="majorHAnsi" w:hAnsiTheme="majorHAnsi"/>
          <w:sz w:val="24"/>
          <w:szCs w:val="24"/>
        </w:rPr>
        <w:t>Мозырский</w:t>
      </w:r>
      <w:proofErr w:type="spellEnd"/>
      <w:r w:rsidRPr="00A05DC2">
        <w:rPr>
          <w:rFonts w:asciiTheme="majorHAnsi" w:hAnsiTheme="majorHAnsi"/>
          <w:sz w:val="24"/>
          <w:szCs w:val="24"/>
        </w:rPr>
        <w:t xml:space="preserve"> НПЗ. Показатели чистой прибыли </w:t>
      </w:r>
      <w:proofErr w:type="spellStart"/>
      <w:r w:rsidRPr="00A05DC2">
        <w:rPr>
          <w:rFonts w:asciiTheme="majorHAnsi" w:hAnsiTheme="majorHAnsi"/>
          <w:sz w:val="24"/>
          <w:szCs w:val="24"/>
        </w:rPr>
        <w:t>Мозырского</w:t>
      </w:r>
      <w:proofErr w:type="spellEnd"/>
      <w:r w:rsidRPr="00A05DC2">
        <w:rPr>
          <w:rFonts w:asciiTheme="majorHAnsi" w:hAnsiTheme="majorHAnsi"/>
          <w:sz w:val="24"/>
          <w:szCs w:val="24"/>
        </w:rPr>
        <w:t xml:space="preserve"> НПЗ могут опережать результаты по аналогичному периоду 2013 года.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Кредиторская задолженность на 1 марта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4 498,0 млрд. Снижение за февраль </w:t>
      </w:r>
      <w:r w:rsidR="00995CBF">
        <w:rPr>
          <w:rFonts w:asciiTheme="majorHAnsi" w:hAnsiTheme="majorHAnsi"/>
          <w:sz w:val="24"/>
          <w:szCs w:val="24"/>
        </w:rPr>
        <w:t>–</w:t>
      </w:r>
      <w:r w:rsidRPr="00A05DC2">
        <w:rPr>
          <w:rFonts w:asciiTheme="majorHAnsi" w:hAnsiTheme="majorHAnsi"/>
          <w:sz w:val="24"/>
          <w:szCs w:val="24"/>
        </w:rPr>
        <w:t xml:space="preserve"> 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498,5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(наибольшее снижение среди видов промышленного производства), в том числе за топливно-энергетические ресурсы </w:t>
      </w:r>
      <w:r w:rsidR="00995CBF">
        <w:rPr>
          <w:rFonts w:asciiTheme="majorHAnsi" w:hAnsiTheme="majorHAnsi"/>
          <w:sz w:val="24"/>
          <w:szCs w:val="24"/>
        </w:rPr>
        <w:t>–</w:t>
      </w:r>
      <w:r w:rsidRPr="00A05DC2">
        <w:rPr>
          <w:rFonts w:asciiTheme="majorHAnsi" w:hAnsiTheme="majorHAnsi"/>
          <w:sz w:val="24"/>
          <w:szCs w:val="24"/>
        </w:rPr>
        <w:t xml:space="preserve"> 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267,5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по налогам и сборам</w:t>
      </w:r>
      <w:r w:rsidR="00995CBF">
        <w:rPr>
          <w:rFonts w:asciiTheme="majorHAnsi" w:hAnsiTheme="majorHAnsi"/>
          <w:sz w:val="24"/>
          <w:szCs w:val="24"/>
        </w:rPr>
        <w:t xml:space="preserve"> – </w:t>
      </w:r>
      <w:r w:rsidRPr="00A05DC2">
        <w:rPr>
          <w:rFonts w:asciiTheme="majorHAnsi" w:hAnsiTheme="majorHAnsi"/>
          <w:sz w:val="24"/>
          <w:szCs w:val="24"/>
        </w:rPr>
        <w:t>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14,2 млрд. Основной объем сокращения задолженности пришелся на внешние расчеты. Просроченная кредиторская задолженность на 1 марта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4,4 млрд. За февраль</w:t>
      </w:r>
      <w:r w:rsidR="00995CBF">
        <w:rPr>
          <w:rFonts w:asciiTheme="majorHAnsi" w:hAnsiTheme="majorHAnsi"/>
          <w:sz w:val="24"/>
          <w:szCs w:val="24"/>
        </w:rPr>
        <w:t xml:space="preserve"> – </w:t>
      </w:r>
      <w:r w:rsidRPr="00A05DC2">
        <w:rPr>
          <w:rFonts w:asciiTheme="majorHAnsi" w:hAnsiTheme="majorHAnsi"/>
          <w:sz w:val="24"/>
          <w:szCs w:val="24"/>
        </w:rPr>
        <w:t>прирост</w:t>
      </w:r>
      <w:r w:rsidR="00995CBF">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42 млн. Самый низкий уровень просроченной задолженности среди всех видов промышленного производства</w:t>
      </w:r>
      <w:r w:rsidR="00995CBF">
        <w:rPr>
          <w:rFonts w:asciiTheme="majorHAnsi" w:hAnsiTheme="majorHAnsi"/>
          <w:sz w:val="24"/>
          <w:szCs w:val="24"/>
        </w:rPr>
        <w:t xml:space="preserve"> – </w:t>
      </w:r>
      <w:r w:rsidRPr="00A05DC2">
        <w:rPr>
          <w:rFonts w:asciiTheme="majorHAnsi" w:hAnsiTheme="majorHAnsi"/>
          <w:sz w:val="24"/>
          <w:szCs w:val="24"/>
        </w:rPr>
        <w:t>менее</w:t>
      </w:r>
      <w:r w:rsidR="00995CBF">
        <w:rPr>
          <w:rFonts w:asciiTheme="majorHAnsi" w:hAnsiTheme="majorHAnsi"/>
          <w:sz w:val="24"/>
          <w:szCs w:val="24"/>
        </w:rPr>
        <w:t xml:space="preserve"> </w:t>
      </w:r>
      <w:r w:rsidRPr="00A05DC2">
        <w:rPr>
          <w:rFonts w:asciiTheme="majorHAnsi" w:hAnsiTheme="majorHAnsi"/>
          <w:sz w:val="24"/>
          <w:szCs w:val="24"/>
        </w:rPr>
        <w:t>0,1% от общего объема кредиторской задолженности. Просроченная задолженность по налогам и сборам отсутствует.</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Дебиторская задолженность на 1 марта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5 228,1 млрд. Снижение за февраль</w:t>
      </w:r>
      <w:r w:rsidR="00995CBF">
        <w:rPr>
          <w:rFonts w:asciiTheme="majorHAnsi" w:hAnsiTheme="majorHAnsi"/>
          <w:sz w:val="24"/>
          <w:szCs w:val="24"/>
        </w:rPr>
        <w:t xml:space="preserve"> </w:t>
      </w:r>
      <w:r w:rsidRPr="00A05DC2">
        <w:rPr>
          <w:rFonts w:asciiTheme="majorHAnsi" w:hAnsiTheme="majorHAnsi"/>
          <w:sz w:val="24"/>
          <w:szCs w:val="24"/>
        </w:rPr>
        <w:t>–</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357,8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(наибольшее среди видов промышленного производства). Просроченная дебиторская задолженность на 1 март</w:t>
      </w:r>
      <w:r w:rsidR="00995CBF">
        <w:rPr>
          <w:rFonts w:asciiTheme="majorHAnsi" w:hAnsiTheme="majorHAnsi"/>
          <w:sz w:val="24"/>
          <w:szCs w:val="24"/>
        </w:rPr>
        <w:t xml:space="preserve">а – </w:t>
      </w:r>
      <w:r w:rsidRPr="00A05DC2">
        <w:rPr>
          <w:rFonts w:asciiTheme="majorHAnsi" w:hAnsiTheme="majorHAnsi"/>
          <w:sz w:val="24"/>
          <w:szCs w:val="24"/>
          <w:lang w:val="en-US"/>
        </w:rPr>
        <w:t>BYR</w:t>
      </w:r>
      <w:r w:rsidRPr="00A05DC2">
        <w:rPr>
          <w:rFonts w:asciiTheme="majorHAnsi" w:hAnsiTheme="majorHAnsi"/>
          <w:sz w:val="24"/>
          <w:szCs w:val="24"/>
        </w:rPr>
        <w:t xml:space="preserve"> 157,0 млрд. За февраль</w:t>
      </w:r>
      <w:r w:rsidR="00995CBF">
        <w:rPr>
          <w:rFonts w:asciiTheme="majorHAnsi" w:hAnsiTheme="majorHAnsi"/>
          <w:sz w:val="24"/>
          <w:szCs w:val="24"/>
        </w:rPr>
        <w:t xml:space="preserve"> – </w:t>
      </w:r>
      <w:r w:rsidRPr="00A05DC2">
        <w:rPr>
          <w:rFonts w:asciiTheme="majorHAnsi" w:hAnsiTheme="majorHAnsi"/>
          <w:sz w:val="24"/>
          <w:szCs w:val="24"/>
        </w:rPr>
        <w:t>рост</w:t>
      </w:r>
      <w:r w:rsidR="00995CBF">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23,5 млрд. Самый низкий уровень просроченной задолженности среди всех видов промышленного производства</w:t>
      </w:r>
      <w:r w:rsidR="00995CBF">
        <w:rPr>
          <w:rFonts w:asciiTheme="majorHAnsi" w:hAnsiTheme="majorHAnsi"/>
          <w:sz w:val="24"/>
          <w:szCs w:val="24"/>
        </w:rPr>
        <w:t xml:space="preserve"> – </w:t>
      </w:r>
      <w:r w:rsidRPr="00A05DC2">
        <w:rPr>
          <w:rFonts w:asciiTheme="majorHAnsi" w:hAnsiTheme="majorHAnsi"/>
          <w:sz w:val="24"/>
          <w:szCs w:val="24"/>
        </w:rPr>
        <w:t>3,00% от общего объема дебиторской задолженности. Отрасль является чистым кредитором остальных видов деятельности и оказывает существенный объем финансовой помощи сельскохозяйственным предприятиям посредством отсрочек по платежам за нефтепродукты и более низких цен на топливо для сельского хозяйства.</w:t>
      </w:r>
    </w:p>
    <w:p w:rsidR="00A05DC2" w:rsidRPr="00995CBF" w:rsidRDefault="00995CBF" w:rsidP="00C11730">
      <w:pPr>
        <w:tabs>
          <w:tab w:val="left" w:pos="10773"/>
        </w:tabs>
        <w:ind w:right="281"/>
        <w:jc w:val="both"/>
        <w:rPr>
          <w:rFonts w:asciiTheme="majorHAnsi" w:hAnsiTheme="majorHAnsi"/>
          <w:b/>
          <w:sz w:val="24"/>
          <w:szCs w:val="24"/>
        </w:rPr>
      </w:pPr>
      <w:r>
        <w:rPr>
          <w:rFonts w:asciiTheme="majorHAnsi" w:hAnsiTheme="majorHAnsi"/>
          <w:b/>
          <w:sz w:val="24"/>
          <w:szCs w:val="24"/>
        </w:rPr>
        <w:t>Текущая ситуация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Ключевым событие</w:t>
      </w:r>
      <w:r w:rsidR="00995CBF">
        <w:rPr>
          <w:rFonts w:asciiTheme="majorHAnsi" w:hAnsiTheme="majorHAnsi"/>
          <w:sz w:val="24"/>
          <w:szCs w:val="24"/>
        </w:rPr>
        <w:t>м</w:t>
      </w:r>
      <w:r w:rsidRPr="00A05DC2">
        <w:rPr>
          <w:rFonts w:asciiTheme="majorHAnsi" w:hAnsiTheme="majorHAnsi"/>
          <w:sz w:val="24"/>
          <w:szCs w:val="24"/>
        </w:rPr>
        <w:t xml:space="preserve"> для отрасли стало достижение соглашения о поставках нефти в 2014 году в размере 23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тонн, из которых 21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тонн будет поставлен трубопроводным транспортом и 2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 xml:space="preserve"> тонн</w:t>
      </w:r>
      <w:r w:rsidR="00995CBF">
        <w:rPr>
          <w:rFonts w:asciiTheme="majorHAnsi" w:hAnsiTheme="majorHAnsi"/>
          <w:sz w:val="24"/>
          <w:szCs w:val="24"/>
        </w:rPr>
        <w:t xml:space="preserve"> – </w:t>
      </w:r>
      <w:r w:rsidRPr="00A05DC2">
        <w:rPr>
          <w:rFonts w:asciiTheme="majorHAnsi" w:hAnsiTheme="majorHAnsi"/>
          <w:sz w:val="24"/>
          <w:szCs w:val="24"/>
        </w:rPr>
        <w:t>железнодорожным</w:t>
      </w:r>
      <w:r w:rsidR="00995CBF">
        <w:rPr>
          <w:rFonts w:asciiTheme="majorHAnsi" w:hAnsiTheme="majorHAnsi"/>
          <w:sz w:val="24"/>
          <w:szCs w:val="24"/>
        </w:rPr>
        <w:t xml:space="preserve"> </w:t>
      </w:r>
      <w:r w:rsidRPr="00A05DC2">
        <w:rPr>
          <w:rFonts w:asciiTheme="majorHAnsi" w:hAnsiTheme="majorHAnsi"/>
          <w:sz w:val="24"/>
          <w:szCs w:val="24"/>
        </w:rPr>
        <w:t>транспортом. Это позволяет полностью загрузить мощности НПЗ и делает предсказуемой ситуацию с индексами промышленного производства отрасли в 2014 году. Происходит определенная переориентация поставок нефтепродуктов по различным внешним рынкам. Девальвация украинской гривны привела к росту цен на бензин и дизельное топливо и снизила объемы поставок белорусского топлива на данный рынок. Украина является премиальным рынком для белорусского топлива</w:t>
      </w:r>
      <w:r w:rsidR="00995CBF">
        <w:rPr>
          <w:rFonts w:asciiTheme="majorHAnsi" w:hAnsiTheme="majorHAnsi"/>
          <w:sz w:val="24"/>
          <w:szCs w:val="24"/>
        </w:rPr>
        <w:t xml:space="preserve"> – </w:t>
      </w:r>
      <w:r w:rsidRPr="00A05DC2">
        <w:rPr>
          <w:rFonts w:asciiTheme="majorHAnsi" w:hAnsiTheme="majorHAnsi"/>
          <w:sz w:val="24"/>
          <w:szCs w:val="24"/>
        </w:rPr>
        <w:t>в</w:t>
      </w:r>
      <w:r w:rsidR="00995CBF">
        <w:rPr>
          <w:rFonts w:asciiTheme="majorHAnsi" w:hAnsiTheme="majorHAnsi"/>
          <w:sz w:val="24"/>
          <w:szCs w:val="24"/>
        </w:rPr>
        <w:t xml:space="preserve"> </w:t>
      </w:r>
      <w:r w:rsidRPr="00A05DC2">
        <w:rPr>
          <w:rFonts w:asciiTheme="majorHAnsi" w:hAnsiTheme="majorHAnsi"/>
          <w:sz w:val="24"/>
          <w:szCs w:val="24"/>
        </w:rPr>
        <w:t xml:space="preserve">среднем цены на поставляемое топливо выше на </w:t>
      </w:r>
      <w:r w:rsidRPr="00A05DC2">
        <w:rPr>
          <w:rFonts w:asciiTheme="majorHAnsi" w:hAnsiTheme="majorHAnsi"/>
          <w:sz w:val="24"/>
          <w:szCs w:val="24"/>
          <w:lang w:val="en-US"/>
        </w:rPr>
        <w:t>USD</w:t>
      </w:r>
      <w:r w:rsidRPr="00A05DC2">
        <w:rPr>
          <w:rFonts w:asciiTheme="majorHAnsi" w:hAnsiTheme="majorHAnsi"/>
          <w:sz w:val="24"/>
          <w:szCs w:val="24"/>
        </w:rPr>
        <w:t xml:space="preserve"> 30/тонна по сравнению с другими рынками и </w:t>
      </w:r>
      <w:r w:rsidRPr="00A05DC2">
        <w:rPr>
          <w:rFonts w:asciiTheme="majorHAnsi" w:hAnsiTheme="majorHAnsi"/>
          <w:sz w:val="24"/>
          <w:szCs w:val="24"/>
        </w:rPr>
        <w:lastRenderedPageBreak/>
        <w:t>перенаправление поставок на иные рынки не может компенсировать потери доходов от экспорта в данную страну. К марту в Украине сложился определенный дефицит топлива, что в краткосрочном периоде несколько выровняет ситуацию с поставками белорусских нефтепродуктов, однако в целом по 2014 году ожидается падение поставок топлива в Украину на уровне 15% к показателям 2014 года.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Российский рынок может потребить порядка 1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тонн бензина белорусского производства. Ограничения по размеру экспортных пошлин на бензин призваны обеспечить потребности российского рынка, однако отсутствие достаточных емкостей для хранения нефтепродуктов и определенная сезонн</w:t>
      </w:r>
      <w:r w:rsidR="00995CBF">
        <w:rPr>
          <w:rFonts w:asciiTheme="majorHAnsi" w:hAnsiTheme="majorHAnsi"/>
          <w:sz w:val="24"/>
          <w:szCs w:val="24"/>
        </w:rPr>
        <w:t>ость</w:t>
      </w:r>
      <w:r w:rsidRPr="00A05DC2">
        <w:rPr>
          <w:rFonts w:asciiTheme="majorHAnsi" w:hAnsiTheme="majorHAnsi"/>
          <w:sz w:val="24"/>
          <w:szCs w:val="24"/>
        </w:rPr>
        <w:t xml:space="preserve"> в потреблении топлива позволяют </w:t>
      </w:r>
      <w:proofErr w:type="gramStart"/>
      <w:r w:rsidRPr="00A05DC2">
        <w:rPr>
          <w:rFonts w:asciiTheme="majorHAnsi" w:hAnsiTheme="majorHAnsi"/>
          <w:sz w:val="24"/>
          <w:szCs w:val="24"/>
        </w:rPr>
        <w:t>белорусским</w:t>
      </w:r>
      <w:proofErr w:type="gramEnd"/>
      <w:r w:rsidRPr="00A05DC2">
        <w:rPr>
          <w:rFonts w:asciiTheme="majorHAnsi" w:hAnsiTheme="majorHAnsi"/>
          <w:sz w:val="24"/>
          <w:szCs w:val="24"/>
        </w:rPr>
        <w:t xml:space="preserve"> </w:t>
      </w:r>
      <w:proofErr w:type="spellStart"/>
      <w:r w:rsidRPr="00A05DC2">
        <w:rPr>
          <w:rFonts w:asciiTheme="majorHAnsi" w:hAnsiTheme="majorHAnsi"/>
          <w:sz w:val="24"/>
          <w:szCs w:val="24"/>
        </w:rPr>
        <w:t>нефтетрейдерам</w:t>
      </w:r>
      <w:proofErr w:type="spellEnd"/>
      <w:r w:rsidRPr="00A05DC2">
        <w:rPr>
          <w:rFonts w:asciiTheme="majorHAnsi" w:hAnsiTheme="majorHAnsi"/>
          <w:sz w:val="24"/>
          <w:szCs w:val="24"/>
        </w:rPr>
        <w:t xml:space="preserve"> поставлять дополнительные объемы на данный рынок в благоприятные с точки зрения цен периоды. </w:t>
      </w:r>
    </w:p>
    <w:p w:rsidR="00A05DC2" w:rsidRPr="00995CBF" w:rsidRDefault="00995CBF" w:rsidP="00C11730">
      <w:pPr>
        <w:tabs>
          <w:tab w:val="left" w:pos="10773"/>
        </w:tabs>
        <w:ind w:right="281"/>
        <w:jc w:val="both"/>
        <w:rPr>
          <w:rFonts w:asciiTheme="majorHAnsi" w:hAnsiTheme="majorHAnsi"/>
          <w:b/>
          <w:sz w:val="24"/>
          <w:szCs w:val="24"/>
        </w:rPr>
      </w:pPr>
      <w:r>
        <w:rPr>
          <w:rFonts w:asciiTheme="majorHAnsi" w:hAnsiTheme="majorHAnsi"/>
          <w:b/>
          <w:sz w:val="24"/>
          <w:szCs w:val="24"/>
        </w:rPr>
        <w:t>Особая ситуация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Поставки битумных смесей по итогам января-февраля 2014 года составили </w:t>
      </w:r>
      <w:r w:rsidRPr="00A05DC2">
        <w:rPr>
          <w:rFonts w:asciiTheme="majorHAnsi" w:hAnsiTheme="majorHAnsi"/>
          <w:sz w:val="24"/>
          <w:szCs w:val="24"/>
          <w:lang w:val="en-US"/>
        </w:rPr>
        <w:t>USD</w:t>
      </w:r>
      <w:r w:rsidRPr="00A05DC2">
        <w:rPr>
          <w:rFonts w:asciiTheme="majorHAnsi" w:hAnsiTheme="majorHAnsi"/>
          <w:sz w:val="24"/>
          <w:szCs w:val="24"/>
        </w:rPr>
        <w:t xml:space="preserve"> 62,2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в том числе в Соединенное Королевство</w:t>
      </w:r>
      <w:r w:rsidR="00995CBF">
        <w:rPr>
          <w:rFonts w:asciiTheme="majorHAnsi" w:hAnsiTheme="majorHAnsi"/>
          <w:sz w:val="24"/>
          <w:szCs w:val="24"/>
        </w:rPr>
        <w:t xml:space="preserve"> – </w:t>
      </w:r>
      <w:r w:rsidRPr="00A05DC2">
        <w:rPr>
          <w:rFonts w:asciiTheme="majorHAnsi" w:hAnsiTheme="majorHAnsi"/>
          <w:sz w:val="24"/>
          <w:szCs w:val="24"/>
          <w:lang w:val="en-US"/>
        </w:rPr>
        <w:t>USD</w:t>
      </w:r>
      <w:r w:rsidR="00995CBF">
        <w:rPr>
          <w:rFonts w:asciiTheme="majorHAnsi" w:hAnsiTheme="majorHAnsi"/>
          <w:sz w:val="24"/>
          <w:szCs w:val="24"/>
        </w:rPr>
        <w:t xml:space="preserve"> </w:t>
      </w:r>
      <w:r w:rsidRPr="00A05DC2">
        <w:rPr>
          <w:rFonts w:asciiTheme="majorHAnsi" w:hAnsiTheme="majorHAnsi"/>
          <w:sz w:val="24"/>
          <w:szCs w:val="24"/>
        </w:rPr>
        <w:t>61,7 млн. Весь объем поставок в данную страну осуществляет одно из предприятий оптовой торговли Витебской области.</w:t>
      </w:r>
    </w:p>
    <w:p w:rsid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Могилевской области на базе </w:t>
      </w:r>
      <w:proofErr w:type="spellStart"/>
      <w:r w:rsidRPr="00A05DC2">
        <w:rPr>
          <w:rFonts w:asciiTheme="majorHAnsi" w:hAnsiTheme="majorHAnsi"/>
          <w:sz w:val="24"/>
          <w:szCs w:val="24"/>
        </w:rPr>
        <w:t>Могилевхимволокна</w:t>
      </w:r>
      <w:proofErr w:type="spellEnd"/>
      <w:r w:rsidRPr="00A05DC2">
        <w:rPr>
          <w:rFonts w:asciiTheme="majorHAnsi" w:hAnsiTheme="majorHAnsi"/>
          <w:sz w:val="24"/>
          <w:szCs w:val="24"/>
        </w:rPr>
        <w:t xml:space="preserve"> осуществляется производство </w:t>
      </w:r>
      <w:proofErr w:type="spellStart"/>
      <w:r w:rsidRPr="00A05DC2">
        <w:rPr>
          <w:rFonts w:asciiTheme="majorHAnsi" w:hAnsiTheme="majorHAnsi"/>
          <w:sz w:val="24"/>
          <w:szCs w:val="24"/>
        </w:rPr>
        <w:t>биодизельного</w:t>
      </w:r>
      <w:proofErr w:type="spellEnd"/>
      <w:r w:rsidRPr="00A05DC2">
        <w:rPr>
          <w:rFonts w:asciiTheme="majorHAnsi" w:hAnsiTheme="majorHAnsi"/>
          <w:sz w:val="24"/>
          <w:szCs w:val="24"/>
        </w:rPr>
        <w:t xml:space="preserve"> топлива, что привело к росту индексов промышленного производства нефтепереработки Могилевской области в 4 раза по итогам первого квартала 2014 года к аналогичному периоду 2013 года.</w:t>
      </w:r>
    </w:p>
    <w:p w:rsidR="00995CBF" w:rsidRPr="00A05DC2" w:rsidRDefault="00995CBF" w:rsidP="00C11730">
      <w:pPr>
        <w:tabs>
          <w:tab w:val="left" w:pos="10773"/>
        </w:tabs>
        <w:ind w:right="281"/>
        <w:jc w:val="both"/>
        <w:rPr>
          <w:rFonts w:asciiTheme="majorHAnsi" w:hAnsiTheme="majorHAnsi"/>
          <w:sz w:val="24"/>
          <w:szCs w:val="24"/>
        </w:rPr>
      </w:pP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lang w:val="en-US"/>
        </w:rPr>
        <w:t>I</w:t>
      </w:r>
      <w:r w:rsidRPr="00995CBF">
        <w:rPr>
          <w:rFonts w:asciiTheme="majorHAnsi" w:hAnsiTheme="majorHAnsi"/>
          <w:b/>
          <w:sz w:val="24"/>
          <w:szCs w:val="24"/>
        </w:rPr>
        <w:t>.3.Химическая промышленность</w:t>
      </w:r>
    </w:p>
    <w:p w:rsidR="00A05DC2" w:rsidRPr="00995CBF" w:rsidRDefault="00A05DC2" w:rsidP="00C11730">
      <w:pPr>
        <w:tabs>
          <w:tab w:val="left" w:pos="10773"/>
        </w:tabs>
        <w:ind w:right="281"/>
        <w:jc w:val="both"/>
        <w:rPr>
          <w:rFonts w:asciiTheme="majorHAnsi" w:hAnsiTheme="majorHAnsi"/>
          <w:b/>
          <w:sz w:val="24"/>
          <w:szCs w:val="24"/>
        </w:rPr>
      </w:pPr>
      <w:r w:rsidRPr="00995CBF">
        <w:rPr>
          <w:rFonts w:asciiTheme="majorHAnsi" w:hAnsiTheme="majorHAnsi"/>
          <w:b/>
          <w:sz w:val="24"/>
          <w:szCs w:val="24"/>
        </w:rPr>
        <w:t>Производственные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производства продукции за январь-март 2014 года </w:t>
      </w:r>
      <w:r w:rsidRPr="00A05DC2">
        <w:rPr>
          <w:rFonts w:asciiTheme="majorHAnsi" w:hAnsiTheme="majorHAnsi"/>
          <w:sz w:val="24"/>
          <w:szCs w:val="24"/>
          <w:lang w:val="en-US"/>
        </w:rPr>
        <w:t>BYR</w:t>
      </w:r>
      <w:r w:rsidRPr="00A05DC2">
        <w:rPr>
          <w:rFonts w:asciiTheme="majorHAnsi" w:hAnsiTheme="majorHAnsi"/>
          <w:sz w:val="24"/>
          <w:szCs w:val="24"/>
        </w:rPr>
        <w:t xml:space="preserve"> 14,7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xml:space="preserve"> (4 место в промышленности). Индекс промышленного производства</w:t>
      </w:r>
      <w:r w:rsidR="00995CBF">
        <w:rPr>
          <w:rFonts w:asciiTheme="majorHAnsi" w:hAnsiTheme="majorHAnsi"/>
          <w:sz w:val="24"/>
          <w:szCs w:val="24"/>
        </w:rPr>
        <w:t xml:space="preserve"> – </w:t>
      </w:r>
      <w:r w:rsidRPr="00A05DC2">
        <w:rPr>
          <w:rFonts w:asciiTheme="majorHAnsi" w:hAnsiTheme="majorHAnsi"/>
          <w:sz w:val="24"/>
          <w:szCs w:val="24"/>
        </w:rPr>
        <w:t>105,3% к январю-марту 2013 года, в том числе март</w:t>
      </w:r>
      <w:r w:rsidR="00995CBF">
        <w:rPr>
          <w:rFonts w:asciiTheme="majorHAnsi" w:hAnsiTheme="majorHAnsi"/>
          <w:sz w:val="24"/>
          <w:szCs w:val="24"/>
        </w:rPr>
        <w:t xml:space="preserve"> – </w:t>
      </w:r>
      <w:r w:rsidRPr="00A05DC2">
        <w:rPr>
          <w:rFonts w:asciiTheme="majorHAnsi" w:hAnsiTheme="majorHAnsi"/>
          <w:sz w:val="24"/>
          <w:szCs w:val="24"/>
        </w:rPr>
        <w:t>116,3%. Объемы производства калийных и азотных удобрений превышают показатели 2013 года, существенно сократилось отставание от результатов 2013 года фармацевтической промышленности. Существенное падение сохраняется по фосфатным удобрениям, мылу и органическим ПАВ (поверхностно-активные вещества).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Складские запасы </w:t>
      </w:r>
      <w:r w:rsidR="00995CBF">
        <w:rPr>
          <w:rFonts w:asciiTheme="majorHAnsi" w:hAnsiTheme="majorHAnsi"/>
          <w:sz w:val="24"/>
          <w:szCs w:val="24"/>
        </w:rPr>
        <w:t>–</w:t>
      </w:r>
      <w:r w:rsidRPr="00A05DC2">
        <w:rPr>
          <w:rFonts w:asciiTheme="majorHAnsi" w:hAnsiTheme="majorHAnsi"/>
          <w:sz w:val="24"/>
          <w:szCs w:val="24"/>
        </w:rPr>
        <w:t xml:space="preserve"> снижение</w:t>
      </w:r>
      <w:r w:rsidR="00995CBF">
        <w:rPr>
          <w:rFonts w:asciiTheme="majorHAnsi" w:hAnsiTheme="majorHAnsi"/>
          <w:sz w:val="24"/>
          <w:szCs w:val="24"/>
        </w:rPr>
        <w:t xml:space="preserve"> </w:t>
      </w:r>
      <w:r w:rsidRPr="00A05DC2">
        <w:rPr>
          <w:rFonts w:asciiTheme="majorHAnsi" w:hAnsiTheme="majorHAnsi"/>
          <w:sz w:val="24"/>
          <w:szCs w:val="24"/>
        </w:rPr>
        <w:t xml:space="preserve">в марте на </w:t>
      </w:r>
      <w:r w:rsidRPr="00A05DC2">
        <w:rPr>
          <w:rFonts w:asciiTheme="majorHAnsi" w:hAnsiTheme="majorHAnsi"/>
          <w:sz w:val="24"/>
          <w:szCs w:val="24"/>
          <w:lang w:val="en-US"/>
        </w:rPr>
        <w:t>BYR</w:t>
      </w:r>
      <w:r w:rsidRPr="00A05DC2">
        <w:rPr>
          <w:rFonts w:asciiTheme="majorHAnsi" w:hAnsiTheme="majorHAnsi"/>
          <w:sz w:val="24"/>
          <w:szCs w:val="24"/>
        </w:rPr>
        <w:t xml:space="preserve"> 56,3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объем запасов на 1 марта</w:t>
      </w:r>
      <w:r w:rsidR="00995CBF">
        <w:rPr>
          <w:rFonts w:asciiTheme="majorHAnsi" w:hAnsiTheme="majorHAnsi"/>
          <w:sz w:val="24"/>
          <w:szCs w:val="24"/>
        </w:rPr>
        <w:t xml:space="preserve"> – </w:t>
      </w:r>
      <w:r w:rsidRPr="00A05DC2">
        <w:rPr>
          <w:rFonts w:asciiTheme="majorHAnsi" w:hAnsiTheme="majorHAnsi"/>
          <w:sz w:val="24"/>
          <w:szCs w:val="24"/>
          <w:lang w:val="en-US"/>
        </w:rPr>
        <w:t>B</w:t>
      </w:r>
      <w:r w:rsidR="00995CBF">
        <w:rPr>
          <w:rFonts w:asciiTheme="majorHAnsi" w:hAnsiTheme="majorHAnsi"/>
          <w:sz w:val="24"/>
          <w:szCs w:val="24"/>
          <w:lang w:val="en-US"/>
        </w:rPr>
        <w:t>Y</w:t>
      </w:r>
      <w:r w:rsidRPr="00A05DC2">
        <w:rPr>
          <w:rFonts w:asciiTheme="majorHAnsi" w:hAnsiTheme="majorHAnsi"/>
          <w:sz w:val="24"/>
          <w:szCs w:val="24"/>
          <w:lang w:val="en-US"/>
        </w:rPr>
        <w:t>R</w:t>
      </w:r>
      <w:r w:rsidRPr="00A05DC2">
        <w:rPr>
          <w:rFonts w:asciiTheme="majorHAnsi" w:hAnsiTheme="majorHAnsi"/>
          <w:sz w:val="24"/>
          <w:szCs w:val="24"/>
        </w:rPr>
        <w:t xml:space="preserve"> 2 183,9 </w:t>
      </w:r>
      <w:proofErr w:type="spellStart"/>
      <w:r w:rsidRPr="00A05DC2">
        <w:rPr>
          <w:rFonts w:asciiTheme="majorHAnsi" w:hAnsiTheme="majorHAnsi"/>
          <w:sz w:val="24"/>
          <w:szCs w:val="24"/>
        </w:rPr>
        <w:t>млрд</w:t>
      </w:r>
      <w:proofErr w:type="spellEnd"/>
      <w:r w:rsidR="00995CBF">
        <w:rPr>
          <w:rFonts w:asciiTheme="majorHAnsi" w:hAnsiTheme="majorHAnsi"/>
          <w:sz w:val="24"/>
          <w:szCs w:val="24"/>
        </w:rPr>
        <w:t>,</w:t>
      </w:r>
      <w:r w:rsidRPr="00A05DC2">
        <w:rPr>
          <w:rFonts w:asciiTheme="majorHAnsi" w:hAnsiTheme="majorHAnsi"/>
          <w:sz w:val="24"/>
          <w:szCs w:val="24"/>
        </w:rPr>
        <w:t xml:space="preserve"> или 49,6% от среднемесячного объема производства.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сократился объем запасов средств чистящих и моющих, лекарственных средств, содержащих гормоны, но не содержащих антибиотики.</w:t>
      </w:r>
    </w:p>
    <w:p w:rsidR="00A05DC2" w:rsidRPr="00995CBF" w:rsidRDefault="00995CBF" w:rsidP="00C11730">
      <w:pPr>
        <w:tabs>
          <w:tab w:val="left" w:pos="10773"/>
        </w:tabs>
        <w:ind w:right="281"/>
        <w:jc w:val="both"/>
        <w:rPr>
          <w:rFonts w:asciiTheme="majorHAnsi" w:hAnsiTheme="majorHAnsi"/>
          <w:b/>
          <w:sz w:val="24"/>
          <w:szCs w:val="24"/>
        </w:rPr>
      </w:pPr>
      <w:r>
        <w:rPr>
          <w:rFonts w:asciiTheme="majorHAnsi" w:hAnsiTheme="majorHAnsi"/>
          <w:b/>
          <w:sz w:val="24"/>
          <w:szCs w:val="24"/>
        </w:rPr>
        <w:t>Финансовые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Чистая прибыль в январе-феврале 2014 года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882,3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(наибольшее значение среди всех отраслей промышленности). Рост относительно января-февраля 2013 года в 2,2 раза</w:t>
      </w:r>
      <w:r w:rsidR="00995CBF">
        <w:rPr>
          <w:rFonts w:asciiTheme="majorHAnsi" w:hAnsiTheme="majorHAnsi"/>
          <w:sz w:val="24"/>
          <w:szCs w:val="24"/>
        </w:rPr>
        <w:t xml:space="preserve"> – </w:t>
      </w:r>
      <w:r w:rsidRPr="00A05DC2">
        <w:rPr>
          <w:rFonts w:asciiTheme="majorHAnsi" w:hAnsiTheme="majorHAnsi"/>
          <w:sz w:val="24"/>
          <w:szCs w:val="24"/>
        </w:rPr>
        <w:t xml:space="preserve">с </w:t>
      </w:r>
      <w:r w:rsidRPr="00A05DC2">
        <w:rPr>
          <w:rFonts w:asciiTheme="majorHAnsi" w:hAnsiTheme="majorHAnsi"/>
          <w:sz w:val="24"/>
          <w:szCs w:val="24"/>
          <w:lang w:val="en-US"/>
        </w:rPr>
        <w:t>BYR</w:t>
      </w:r>
      <w:r w:rsidRPr="00A05DC2">
        <w:rPr>
          <w:rFonts w:asciiTheme="majorHAnsi" w:hAnsiTheme="majorHAnsi"/>
          <w:sz w:val="24"/>
          <w:szCs w:val="24"/>
        </w:rPr>
        <w:t xml:space="preserve"> 398,0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882,3 млрд. Численность убыточных предприятий по сравнению с январем-февралем 2013 года выросла с 12 до 15 единиц, однако чистые убытки убыточных предприятий снизились на 21,6%</w:t>
      </w:r>
      <w:r w:rsidR="00995CBF">
        <w:rPr>
          <w:rFonts w:asciiTheme="majorHAnsi" w:hAnsiTheme="majorHAnsi"/>
          <w:sz w:val="24"/>
          <w:szCs w:val="24"/>
        </w:rPr>
        <w:t xml:space="preserve"> – </w:t>
      </w:r>
      <w:r w:rsidRPr="00A05DC2">
        <w:rPr>
          <w:rFonts w:asciiTheme="majorHAnsi" w:hAnsiTheme="majorHAnsi"/>
          <w:sz w:val="24"/>
          <w:szCs w:val="24"/>
        </w:rPr>
        <w:t>с</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67,6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53,0 млрд. Удельный вес убыточных предприятий в отрасли на 1 марта 2014 года составил 30,0 %. Прирост чистой прибыли стал возможен благодаря отмене экспортных пошлин на калийные удобрения, что привело к значительному улучшению финансовых показателей </w:t>
      </w:r>
      <w:proofErr w:type="spellStart"/>
      <w:r w:rsidRPr="00A05DC2">
        <w:rPr>
          <w:rFonts w:asciiTheme="majorHAnsi" w:hAnsiTheme="majorHAnsi"/>
          <w:sz w:val="24"/>
          <w:szCs w:val="24"/>
        </w:rPr>
        <w:t>Беларуськалия</w:t>
      </w:r>
      <w:proofErr w:type="spellEnd"/>
      <w:r w:rsidRPr="00A05DC2">
        <w:rPr>
          <w:rFonts w:asciiTheme="majorHAnsi" w:hAnsiTheme="majorHAnsi"/>
          <w:sz w:val="24"/>
          <w:szCs w:val="24"/>
        </w:rPr>
        <w:t xml:space="preserve">. Чистая прибыль </w:t>
      </w:r>
      <w:r w:rsidRPr="00A05DC2">
        <w:rPr>
          <w:rFonts w:asciiTheme="majorHAnsi" w:hAnsiTheme="majorHAnsi"/>
          <w:sz w:val="24"/>
          <w:szCs w:val="24"/>
        </w:rPr>
        <w:lastRenderedPageBreak/>
        <w:t xml:space="preserve">предприятий химической промышленности Минской области в январе-феврале 2014 года составила </w:t>
      </w:r>
      <w:r w:rsidRPr="00A05DC2">
        <w:rPr>
          <w:rFonts w:asciiTheme="majorHAnsi" w:hAnsiTheme="majorHAnsi"/>
          <w:sz w:val="24"/>
          <w:szCs w:val="24"/>
          <w:lang w:val="en-US"/>
        </w:rPr>
        <w:t>BYR</w:t>
      </w:r>
      <w:r w:rsidRPr="00A05DC2">
        <w:rPr>
          <w:rFonts w:asciiTheme="majorHAnsi" w:hAnsiTheme="majorHAnsi"/>
          <w:sz w:val="24"/>
          <w:szCs w:val="24"/>
        </w:rPr>
        <w:t xml:space="preserve"> 709,0 млрд. Нулевая ставка экспортных пошлин продлена до 31 декабря 2014 года.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Кредиторская задолженность на 1 марта</w:t>
      </w:r>
      <w:r w:rsidR="00995CB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4 713,9 млрд. Прирост за февраль </w:t>
      </w:r>
      <w:r w:rsidR="00995CBF">
        <w:rPr>
          <w:rFonts w:asciiTheme="majorHAnsi" w:hAnsiTheme="majorHAnsi"/>
          <w:sz w:val="24"/>
          <w:szCs w:val="24"/>
        </w:rPr>
        <w:t>–</w:t>
      </w:r>
      <w:r w:rsidRPr="00A05DC2">
        <w:rPr>
          <w:rFonts w:asciiTheme="majorHAnsi" w:hAnsiTheme="majorHAnsi"/>
          <w:sz w:val="24"/>
          <w:szCs w:val="24"/>
        </w:rPr>
        <w:t xml:space="preserve"> 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92,1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в том числе по налогам и сборам</w:t>
      </w:r>
      <w:r w:rsidR="00995CBF">
        <w:rPr>
          <w:rFonts w:asciiTheme="majorHAnsi" w:hAnsiTheme="majorHAnsi"/>
          <w:sz w:val="24"/>
          <w:szCs w:val="24"/>
        </w:rPr>
        <w:t xml:space="preserve"> – </w:t>
      </w:r>
      <w:r w:rsidRPr="00A05DC2">
        <w:rPr>
          <w:rFonts w:asciiTheme="majorHAnsi" w:hAnsiTheme="majorHAnsi"/>
          <w:sz w:val="24"/>
          <w:szCs w:val="24"/>
        </w:rPr>
        <w:t>на</w:t>
      </w:r>
      <w:r w:rsidR="00995CB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111,5 млрд. Задолженность перед внешними контрагентами сократилась на </w:t>
      </w:r>
      <w:r w:rsidRPr="00A05DC2">
        <w:rPr>
          <w:rFonts w:asciiTheme="majorHAnsi" w:hAnsiTheme="majorHAnsi"/>
          <w:sz w:val="24"/>
          <w:szCs w:val="24"/>
          <w:lang w:val="en-US"/>
        </w:rPr>
        <w:t>BYR</w:t>
      </w:r>
      <w:r w:rsidRPr="00A05DC2">
        <w:rPr>
          <w:rFonts w:asciiTheme="majorHAnsi" w:hAnsiTheme="majorHAnsi"/>
          <w:sz w:val="24"/>
          <w:szCs w:val="24"/>
        </w:rPr>
        <w:t xml:space="preserve"> 111,7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Просроченная кредиторская задолженность на 1 марта</w:t>
      </w:r>
      <w:r w:rsidR="009F672B">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481,8 млрд. За январь-февраль</w:t>
      </w:r>
      <w:r w:rsidR="009F672B">
        <w:rPr>
          <w:rFonts w:asciiTheme="majorHAnsi" w:hAnsiTheme="majorHAnsi"/>
          <w:sz w:val="24"/>
          <w:szCs w:val="24"/>
        </w:rPr>
        <w:t xml:space="preserve"> – </w:t>
      </w:r>
      <w:r w:rsidRPr="00A05DC2">
        <w:rPr>
          <w:rFonts w:asciiTheme="majorHAnsi" w:hAnsiTheme="majorHAnsi"/>
          <w:sz w:val="24"/>
          <w:szCs w:val="24"/>
        </w:rPr>
        <w:t>снижение</w:t>
      </w:r>
      <w:r w:rsidR="009F672B">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20,6 млрд. Удельный вес просроченной кредиторской задолженности – 10,22% (ниже среднего значения по промышленности). В отрасли отсутствует просроченная задолженность по налогам и сборам, а просроченная задолженность за топливно-энергетические ресурсы в феврале сократилась на </w:t>
      </w:r>
      <w:r w:rsidRPr="00A05DC2">
        <w:rPr>
          <w:rFonts w:asciiTheme="majorHAnsi" w:hAnsiTheme="majorHAnsi"/>
          <w:sz w:val="24"/>
          <w:szCs w:val="24"/>
          <w:lang w:val="en-US"/>
        </w:rPr>
        <w:t>BYR</w:t>
      </w:r>
      <w:r w:rsidRPr="00A05DC2">
        <w:rPr>
          <w:rFonts w:asciiTheme="majorHAnsi" w:hAnsiTheme="majorHAnsi"/>
          <w:sz w:val="24"/>
          <w:szCs w:val="24"/>
        </w:rPr>
        <w:t xml:space="preserve"> 3,7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0,7 млрд.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Дебиторская задолженность на 1 марта</w:t>
      </w:r>
      <w:r w:rsidR="009F672B">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7 687,8 млрд. Прирост за февраль –</w:t>
      </w:r>
      <w:r w:rsidR="009F672B">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673,8 млрд. Просроченная дебиторская задолженность на 1 марта</w:t>
      </w:r>
      <w:r w:rsidR="009F672B">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2 033,7 млрд. За февраль</w:t>
      </w:r>
      <w:r w:rsidR="009F672B">
        <w:rPr>
          <w:rFonts w:asciiTheme="majorHAnsi" w:hAnsiTheme="majorHAnsi"/>
          <w:sz w:val="24"/>
          <w:szCs w:val="24"/>
        </w:rPr>
        <w:t xml:space="preserve"> </w:t>
      </w:r>
      <w:proofErr w:type="gramStart"/>
      <w:r w:rsidR="009F672B">
        <w:rPr>
          <w:rFonts w:asciiTheme="majorHAnsi" w:hAnsiTheme="majorHAnsi"/>
          <w:sz w:val="24"/>
          <w:szCs w:val="24"/>
        </w:rPr>
        <w:t>–</w:t>
      </w:r>
      <w:r w:rsidRPr="00A05DC2">
        <w:rPr>
          <w:rFonts w:asciiTheme="majorHAnsi" w:hAnsiTheme="majorHAnsi"/>
          <w:sz w:val="24"/>
          <w:szCs w:val="24"/>
        </w:rPr>
        <w:t>п</w:t>
      </w:r>
      <w:proofErr w:type="gramEnd"/>
      <w:r w:rsidRPr="00A05DC2">
        <w:rPr>
          <w:rFonts w:asciiTheme="majorHAnsi" w:hAnsiTheme="majorHAnsi"/>
          <w:sz w:val="24"/>
          <w:szCs w:val="24"/>
        </w:rPr>
        <w:t>рирост</w:t>
      </w:r>
      <w:r w:rsidR="009F672B">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123,5 млрд. Удельный вес просроченной дебиторской задолженности – 26,45%, что является одним из наиболее высоких показателей в промышленности. Несмотря на предоставление кредитных ресурсов сельскохозяйственным организациям с целью закупок удобрений, задолженность перед отраслью увеличилась, что может быть связано с несвоевременным финансированием закупок из бюджета.</w:t>
      </w:r>
    </w:p>
    <w:p w:rsidR="00A05DC2" w:rsidRPr="009F672B" w:rsidRDefault="009F672B" w:rsidP="00C11730">
      <w:pPr>
        <w:tabs>
          <w:tab w:val="left" w:pos="10773"/>
        </w:tabs>
        <w:ind w:right="281"/>
        <w:jc w:val="both"/>
        <w:rPr>
          <w:rFonts w:asciiTheme="majorHAnsi" w:hAnsiTheme="majorHAnsi"/>
          <w:b/>
          <w:sz w:val="24"/>
          <w:szCs w:val="24"/>
        </w:rPr>
      </w:pPr>
      <w:r>
        <w:rPr>
          <w:rFonts w:asciiTheme="majorHAnsi" w:hAnsiTheme="majorHAnsi"/>
          <w:b/>
          <w:sz w:val="24"/>
          <w:szCs w:val="24"/>
        </w:rPr>
        <w:t>Текущая ситуация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Химическая промышленность в марте 2014 года стала основным фактором первого с января 2013 года роста индекса промышленного производства Беларуси в помесячной динамике. Основной причиной успеха отрасли стали результаты </w:t>
      </w:r>
      <w:proofErr w:type="spellStart"/>
      <w:r w:rsidRPr="00A05DC2">
        <w:rPr>
          <w:rFonts w:asciiTheme="majorHAnsi" w:hAnsiTheme="majorHAnsi"/>
          <w:sz w:val="24"/>
          <w:szCs w:val="24"/>
        </w:rPr>
        <w:t>Беларуськалия</w:t>
      </w:r>
      <w:proofErr w:type="spellEnd"/>
      <w:r w:rsidRPr="00A05DC2">
        <w:rPr>
          <w:rFonts w:asciiTheme="majorHAnsi" w:hAnsiTheme="majorHAnsi"/>
          <w:sz w:val="24"/>
          <w:szCs w:val="24"/>
        </w:rPr>
        <w:t xml:space="preserve">.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был обеспечен рекордный объем поставок на внешние рынки</w:t>
      </w:r>
      <w:r w:rsidR="009F672B">
        <w:rPr>
          <w:rFonts w:asciiTheme="majorHAnsi" w:hAnsiTheme="majorHAnsi"/>
          <w:sz w:val="24"/>
          <w:szCs w:val="24"/>
        </w:rPr>
        <w:t xml:space="preserve"> –</w:t>
      </w:r>
      <w:r w:rsidRPr="00A05DC2">
        <w:rPr>
          <w:rFonts w:asciiTheme="majorHAnsi" w:hAnsiTheme="majorHAnsi"/>
          <w:sz w:val="24"/>
          <w:szCs w:val="24"/>
        </w:rPr>
        <w:t xml:space="preserve"> 977 тыс. тонн калийных удобрений. Объем производства калийных удобрений составил свыше 1 070 тыс. тонн. По итогам двух месяцев 2014 года поставки на внешние рынки в денежном выражении </w:t>
      </w:r>
      <w:proofErr w:type="spellStart"/>
      <w:r w:rsidRPr="00A05DC2">
        <w:rPr>
          <w:rFonts w:asciiTheme="majorHAnsi" w:hAnsiTheme="majorHAnsi"/>
          <w:sz w:val="24"/>
          <w:szCs w:val="24"/>
        </w:rPr>
        <w:t>Беларуськалия</w:t>
      </w:r>
      <w:proofErr w:type="spellEnd"/>
      <w:r w:rsidRPr="00A05DC2">
        <w:rPr>
          <w:rFonts w:asciiTheme="majorHAnsi" w:hAnsiTheme="majorHAnsi"/>
          <w:sz w:val="24"/>
          <w:szCs w:val="24"/>
        </w:rPr>
        <w:t xml:space="preserve"> и </w:t>
      </w:r>
      <w:proofErr w:type="spellStart"/>
      <w:r w:rsidRPr="00A05DC2">
        <w:rPr>
          <w:rFonts w:asciiTheme="majorHAnsi" w:hAnsiTheme="majorHAnsi"/>
          <w:sz w:val="24"/>
          <w:szCs w:val="24"/>
        </w:rPr>
        <w:t>Уралкалия</w:t>
      </w:r>
      <w:proofErr w:type="spellEnd"/>
      <w:r w:rsidRPr="00A05DC2">
        <w:rPr>
          <w:rFonts w:asciiTheme="majorHAnsi" w:hAnsiTheme="majorHAnsi"/>
          <w:sz w:val="24"/>
          <w:szCs w:val="24"/>
        </w:rPr>
        <w:t xml:space="preserve"> практически сравнялись: </w:t>
      </w:r>
      <w:r w:rsidRPr="00A05DC2">
        <w:rPr>
          <w:rFonts w:asciiTheme="majorHAnsi" w:hAnsiTheme="majorHAnsi"/>
          <w:sz w:val="24"/>
          <w:szCs w:val="24"/>
          <w:lang w:val="en-US"/>
        </w:rPr>
        <w:t>USD</w:t>
      </w:r>
      <w:r w:rsidRPr="00A05DC2">
        <w:rPr>
          <w:rFonts w:asciiTheme="majorHAnsi" w:hAnsiTheme="majorHAnsi"/>
          <w:sz w:val="24"/>
          <w:szCs w:val="24"/>
        </w:rPr>
        <w:t xml:space="preserve"> 339</w:t>
      </w:r>
      <w:proofErr w:type="gramStart"/>
      <w:r w:rsidRPr="00A05DC2">
        <w:rPr>
          <w:rFonts w:asciiTheme="majorHAnsi" w:hAnsiTheme="majorHAnsi"/>
          <w:sz w:val="24"/>
          <w:szCs w:val="24"/>
        </w:rPr>
        <w:t>,7</w:t>
      </w:r>
      <w:proofErr w:type="gramEnd"/>
      <w:r w:rsidRPr="00A05DC2">
        <w:rPr>
          <w:rFonts w:asciiTheme="majorHAnsi" w:hAnsiTheme="majorHAnsi"/>
          <w:sz w:val="24"/>
          <w:szCs w:val="24"/>
        </w:rPr>
        <w:t xml:space="preserve"> </w:t>
      </w:r>
      <w:proofErr w:type="spellStart"/>
      <w:r w:rsidRPr="00A05DC2">
        <w:rPr>
          <w:rFonts w:asciiTheme="majorHAnsi" w:hAnsiTheme="majorHAnsi"/>
          <w:sz w:val="24"/>
          <w:szCs w:val="24"/>
        </w:rPr>
        <w:t>млн</w:t>
      </w:r>
      <w:proofErr w:type="spellEnd"/>
      <w:r w:rsidR="009F672B">
        <w:rPr>
          <w:rFonts w:asciiTheme="majorHAnsi" w:hAnsiTheme="majorHAnsi"/>
          <w:sz w:val="24"/>
          <w:szCs w:val="24"/>
        </w:rPr>
        <w:t xml:space="preserve"> – </w:t>
      </w:r>
      <w:proofErr w:type="spellStart"/>
      <w:r w:rsidRPr="00A05DC2">
        <w:rPr>
          <w:rFonts w:asciiTheme="majorHAnsi" w:hAnsiTheme="majorHAnsi"/>
          <w:sz w:val="24"/>
          <w:szCs w:val="24"/>
        </w:rPr>
        <w:t>Беларуськали</w:t>
      </w:r>
      <w:r w:rsidR="009F672B">
        <w:rPr>
          <w:rFonts w:asciiTheme="majorHAnsi" w:hAnsiTheme="majorHAnsi"/>
          <w:sz w:val="24"/>
          <w:szCs w:val="24"/>
        </w:rPr>
        <w:t>й</w:t>
      </w:r>
      <w:proofErr w:type="spellEnd"/>
      <w:r w:rsidRPr="00A05DC2">
        <w:rPr>
          <w:rFonts w:asciiTheme="majorHAnsi" w:hAnsiTheme="majorHAnsi"/>
          <w:sz w:val="24"/>
          <w:szCs w:val="24"/>
        </w:rPr>
        <w:t xml:space="preserve">, и </w:t>
      </w:r>
      <w:r w:rsidRPr="00A05DC2">
        <w:rPr>
          <w:rFonts w:asciiTheme="majorHAnsi" w:hAnsiTheme="majorHAnsi"/>
          <w:sz w:val="24"/>
          <w:szCs w:val="24"/>
          <w:lang w:val="en-US"/>
        </w:rPr>
        <w:t>USD</w:t>
      </w:r>
      <w:r w:rsidRPr="00A05DC2">
        <w:rPr>
          <w:rFonts w:asciiTheme="majorHAnsi" w:hAnsiTheme="majorHAnsi"/>
          <w:sz w:val="24"/>
          <w:szCs w:val="24"/>
        </w:rPr>
        <w:t xml:space="preserve"> 349,4 </w:t>
      </w:r>
      <w:proofErr w:type="spellStart"/>
      <w:r w:rsidRPr="00A05DC2">
        <w:rPr>
          <w:rFonts w:asciiTheme="majorHAnsi" w:hAnsiTheme="majorHAnsi"/>
          <w:sz w:val="24"/>
          <w:szCs w:val="24"/>
        </w:rPr>
        <w:t>млн</w:t>
      </w:r>
      <w:proofErr w:type="spellEnd"/>
      <w:r w:rsidR="009F672B">
        <w:rPr>
          <w:rFonts w:asciiTheme="majorHAnsi" w:hAnsiTheme="majorHAnsi"/>
          <w:sz w:val="24"/>
          <w:szCs w:val="24"/>
        </w:rPr>
        <w:t xml:space="preserve"> – </w:t>
      </w:r>
      <w:proofErr w:type="spellStart"/>
      <w:r w:rsidRPr="00A05DC2">
        <w:rPr>
          <w:rFonts w:asciiTheme="majorHAnsi" w:hAnsiTheme="majorHAnsi"/>
          <w:sz w:val="24"/>
          <w:szCs w:val="24"/>
        </w:rPr>
        <w:t>Уралкали</w:t>
      </w:r>
      <w:r w:rsidR="009F672B">
        <w:rPr>
          <w:rFonts w:asciiTheme="majorHAnsi" w:hAnsiTheme="majorHAnsi"/>
          <w:sz w:val="24"/>
          <w:szCs w:val="24"/>
        </w:rPr>
        <w:t>й</w:t>
      </w:r>
      <w:proofErr w:type="spellEnd"/>
      <w:r w:rsidRPr="00A05DC2">
        <w:rPr>
          <w:rFonts w:asciiTheme="majorHAnsi" w:hAnsiTheme="majorHAnsi"/>
          <w:sz w:val="24"/>
          <w:szCs w:val="24"/>
        </w:rPr>
        <w:t xml:space="preserve">. Рост поставок на внешние рынки стал возможен благодаря существенной корректировке экспортных цен в сторону понижения. По просьбе БКК, </w:t>
      </w:r>
      <w:proofErr w:type="spellStart"/>
      <w:r w:rsidRPr="00A05DC2">
        <w:rPr>
          <w:rFonts w:asciiTheme="majorHAnsi" w:hAnsiTheme="majorHAnsi"/>
          <w:sz w:val="24"/>
          <w:szCs w:val="24"/>
        </w:rPr>
        <w:t>Белстат</w:t>
      </w:r>
      <w:proofErr w:type="spellEnd"/>
      <w:r w:rsidRPr="00A05DC2">
        <w:rPr>
          <w:rFonts w:asciiTheme="majorHAnsi" w:hAnsiTheme="majorHAnsi"/>
          <w:sz w:val="24"/>
          <w:szCs w:val="24"/>
        </w:rPr>
        <w:t xml:space="preserve"> закрыл данные о динамике экспортных поставок калийных удобрений в разрезе стран. С целью сохранения достигнутых результатов по поставкам калийных удобрений на период с 1 апреля 2014 года до 31 декабря 2014 года продлена нулевая ставка экспортной пошлины на калийные удобрения, вывозимые за пределы таможенной территории стан ТС.</w:t>
      </w:r>
    </w:p>
    <w:p w:rsid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Увеличиваются объемы производства и у второго крупнейшего предприятия отрасли </w:t>
      </w:r>
      <w:r w:rsidR="009F672B">
        <w:rPr>
          <w:rFonts w:asciiTheme="majorHAnsi" w:hAnsiTheme="majorHAnsi"/>
          <w:sz w:val="24"/>
          <w:szCs w:val="24"/>
        </w:rPr>
        <w:t>–</w:t>
      </w:r>
      <w:r w:rsidRPr="00A05DC2">
        <w:rPr>
          <w:rFonts w:asciiTheme="majorHAnsi" w:hAnsiTheme="majorHAnsi"/>
          <w:sz w:val="24"/>
          <w:szCs w:val="24"/>
        </w:rPr>
        <w:t xml:space="preserve"> Гродно</w:t>
      </w:r>
      <w:r w:rsidR="009F672B">
        <w:rPr>
          <w:rFonts w:asciiTheme="majorHAnsi" w:hAnsiTheme="majorHAnsi"/>
          <w:sz w:val="24"/>
          <w:szCs w:val="24"/>
        </w:rPr>
        <w:t xml:space="preserve"> </w:t>
      </w:r>
      <w:r w:rsidRPr="00A05DC2">
        <w:rPr>
          <w:rFonts w:asciiTheme="majorHAnsi" w:hAnsiTheme="majorHAnsi"/>
          <w:sz w:val="24"/>
          <w:szCs w:val="24"/>
        </w:rPr>
        <w:t xml:space="preserve">Азот. Производство азотных удобрений выросло в первом квартале на 1,9%. Наблюдается некоторое отставание экспортных поставок на внешние рынки по итогам двух месяцев 2014 года, что связано с изменение номенклатуры поставляемой продукции. Восстановление экспорта можно ожидать после удовлетворения спроса на азотные удобрения со стороны отечественных сельскохозяйственных предприятий для проведения посевной кампании. </w:t>
      </w:r>
    </w:p>
    <w:p w:rsidR="009F672B" w:rsidRDefault="009F672B" w:rsidP="00C11730">
      <w:pPr>
        <w:tabs>
          <w:tab w:val="left" w:pos="10773"/>
        </w:tabs>
        <w:ind w:right="281"/>
        <w:jc w:val="both"/>
        <w:rPr>
          <w:rFonts w:asciiTheme="majorHAnsi" w:hAnsiTheme="majorHAnsi"/>
          <w:sz w:val="24"/>
          <w:szCs w:val="24"/>
        </w:rPr>
      </w:pPr>
    </w:p>
    <w:p w:rsidR="009F672B" w:rsidRDefault="009F672B" w:rsidP="00C11730">
      <w:pPr>
        <w:tabs>
          <w:tab w:val="left" w:pos="10773"/>
        </w:tabs>
        <w:ind w:right="281"/>
        <w:jc w:val="both"/>
        <w:rPr>
          <w:rFonts w:asciiTheme="majorHAnsi" w:hAnsiTheme="majorHAnsi"/>
          <w:sz w:val="24"/>
          <w:szCs w:val="24"/>
        </w:rPr>
      </w:pPr>
    </w:p>
    <w:p w:rsidR="009F672B" w:rsidRDefault="009F672B" w:rsidP="00C11730">
      <w:pPr>
        <w:tabs>
          <w:tab w:val="left" w:pos="10773"/>
        </w:tabs>
        <w:ind w:right="281"/>
        <w:jc w:val="both"/>
        <w:rPr>
          <w:rFonts w:asciiTheme="majorHAnsi" w:hAnsiTheme="majorHAnsi"/>
          <w:sz w:val="24"/>
          <w:szCs w:val="24"/>
        </w:rPr>
      </w:pPr>
    </w:p>
    <w:p w:rsidR="009F672B" w:rsidRPr="00A05DC2" w:rsidRDefault="009F672B" w:rsidP="00C11730">
      <w:pPr>
        <w:tabs>
          <w:tab w:val="left" w:pos="10773"/>
        </w:tabs>
        <w:ind w:right="281"/>
        <w:jc w:val="both"/>
        <w:rPr>
          <w:rFonts w:asciiTheme="majorHAnsi" w:hAnsiTheme="majorHAnsi"/>
          <w:sz w:val="24"/>
          <w:szCs w:val="24"/>
        </w:rPr>
      </w:pPr>
    </w:p>
    <w:p w:rsidR="00A05DC2" w:rsidRPr="009F672B" w:rsidRDefault="00A05DC2" w:rsidP="00C11730">
      <w:pPr>
        <w:tabs>
          <w:tab w:val="left" w:pos="10773"/>
        </w:tabs>
        <w:ind w:right="281"/>
        <w:jc w:val="both"/>
        <w:rPr>
          <w:rFonts w:asciiTheme="majorHAnsi" w:hAnsiTheme="majorHAnsi"/>
          <w:b/>
          <w:sz w:val="24"/>
          <w:szCs w:val="24"/>
        </w:rPr>
      </w:pPr>
      <w:r w:rsidRPr="009F672B">
        <w:rPr>
          <w:rFonts w:asciiTheme="majorHAnsi" w:hAnsiTheme="majorHAnsi"/>
          <w:b/>
          <w:sz w:val="24"/>
          <w:szCs w:val="24"/>
          <w:lang w:val="en-US"/>
        </w:rPr>
        <w:lastRenderedPageBreak/>
        <w:t>I</w:t>
      </w:r>
      <w:r w:rsidRPr="009F672B">
        <w:rPr>
          <w:rFonts w:asciiTheme="majorHAnsi" w:hAnsiTheme="majorHAnsi"/>
          <w:b/>
          <w:sz w:val="24"/>
          <w:szCs w:val="24"/>
        </w:rPr>
        <w:t>.4.</w:t>
      </w:r>
      <w:r w:rsidR="009F672B" w:rsidRPr="009F672B">
        <w:rPr>
          <w:rFonts w:asciiTheme="majorHAnsi" w:hAnsiTheme="majorHAnsi"/>
          <w:b/>
          <w:sz w:val="24"/>
          <w:szCs w:val="24"/>
        </w:rPr>
        <w:t xml:space="preserve"> </w:t>
      </w:r>
      <w:r w:rsidRPr="009F672B">
        <w:rPr>
          <w:rFonts w:asciiTheme="majorHAnsi" w:hAnsiTheme="majorHAnsi"/>
          <w:b/>
          <w:sz w:val="24"/>
          <w:szCs w:val="24"/>
        </w:rPr>
        <w:t>Производство машин и оборудования</w:t>
      </w:r>
    </w:p>
    <w:p w:rsidR="00A05DC2" w:rsidRPr="009F672B" w:rsidRDefault="00A05DC2" w:rsidP="00C11730">
      <w:pPr>
        <w:tabs>
          <w:tab w:val="left" w:pos="10773"/>
        </w:tabs>
        <w:ind w:right="281"/>
        <w:jc w:val="both"/>
        <w:rPr>
          <w:rFonts w:asciiTheme="majorHAnsi" w:hAnsiTheme="majorHAnsi"/>
          <w:b/>
          <w:sz w:val="24"/>
          <w:szCs w:val="24"/>
        </w:rPr>
      </w:pPr>
      <w:r w:rsidRPr="009F672B">
        <w:rPr>
          <w:rFonts w:asciiTheme="majorHAnsi" w:hAnsiTheme="majorHAnsi"/>
          <w:b/>
          <w:sz w:val="24"/>
          <w:szCs w:val="24"/>
        </w:rPr>
        <w:t>Производственные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производства продукции за январь-март 2014 года </w:t>
      </w:r>
      <w:r w:rsidRPr="00A05DC2">
        <w:rPr>
          <w:rFonts w:asciiTheme="majorHAnsi" w:hAnsiTheme="majorHAnsi"/>
          <w:sz w:val="24"/>
          <w:szCs w:val="24"/>
          <w:lang w:val="en-US"/>
        </w:rPr>
        <w:t>BYR</w:t>
      </w:r>
      <w:r w:rsidRPr="00A05DC2">
        <w:rPr>
          <w:rFonts w:asciiTheme="majorHAnsi" w:hAnsiTheme="majorHAnsi"/>
          <w:sz w:val="24"/>
          <w:szCs w:val="24"/>
        </w:rPr>
        <w:t xml:space="preserve"> 13,6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xml:space="preserve"> (5 место в промышленности). Индекс промышленного производства</w:t>
      </w:r>
      <w:r w:rsidR="009F672B">
        <w:rPr>
          <w:rFonts w:asciiTheme="majorHAnsi" w:hAnsiTheme="majorHAnsi"/>
          <w:sz w:val="24"/>
          <w:szCs w:val="24"/>
        </w:rPr>
        <w:t xml:space="preserve"> – </w:t>
      </w:r>
      <w:r w:rsidRPr="00A05DC2">
        <w:rPr>
          <w:rFonts w:asciiTheme="majorHAnsi" w:hAnsiTheme="majorHAnsi"/>
          <w:sz w:val="24"/>
          <w:szCs w:val="24"/>
        </w:rPr>
        <w:t>82,7% к январю-марту 2013 года, в том числе март</w:t>
      </w:r>
      <w:r w:rsidR="009F672B">
        <w:rPr>
          <w:rFonts w:asciiTheme="majorHAnsi" w:hAnsiTheme="majorHAnsi"/>
          <w:sz w:val="24"/>
          <w:szCs w:val="24"/>
        </w:rPr>
        <w:t xml:space="preserve"> – </w:t>
      </w:r>
      <w:r w:rsidRPr="00A05DC2">
        <w:rPr>
          <w:rFonts w:asciiTheme="majorHAnsi" w:hAnsiTheme="majorHAnsi"/>
          <w:sz w:val="24"/>
          <w:szCs w:val="24"/>
        </w:rPr>
        <w:t xml:space="preserve">82,7%. Сохраняется значительное отставание от результатов 2013 года. Кратное падение производства наблюдается по карьерным самосвалам, подшипникам, вакуумным насосам, разбрасывателям органических удобрений, экскаваторам самоходным.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прирост производства отмечен только по прицепам и полуприцепам, используемым в сельском хозяйстве.</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Складские запасы </w:t>
      </w:r>
      <w:r w:rsidR="009F672B">
        <w:rPr>
          <w:rFonts w:asciiTheme="majorHAnsi" w:hAnsiTheme="majorHAnsi"/>
          <w:sz w:val="24"/>
          <w:szCs w:val="24"/>
        </w:rPr>
        <w:t>–</w:t>
      </w:r>
      <w:r w:rsidRPr="00A05DC2">
        <w:rPr>
          <w:rFonts w:asciiTheme="majorHAnsi" w:hAnsiTheme="majorHAnsi"/>
          <w:sz w:val="24"/>
          <w:szCs w:val="24"/>
        </w:rPr>
        <w:t xml:space="preserve"> рост</w:t>
      </w:r>
      <w:r w:rsidR="009F672B">
        <w:rPr>
          <w:rFonts w:asciiTheme="majorHAnsi" w:hAnsiTheme="majorHAnsi"/>
          <w:sz w:val="24"/>
          <w:szCs w:val="24"/>
        </w:rPr>
        <w:t xml:space="preserve"> </w:t>
      </w:r>
      <w:r w:rsidRPr="00A05DC2">
        <w:rPr>
          <w:rFonts w:asciiTheme="majorHAnsi" w:hAnsiTheme="majorHAnsi"/>
          <w:sz w:val="24"/>
          <w:szCs w:val="24"/>
        </w:rPr>
        <w:t xml:space="preserve">в марте на </w:t>
      </w:r>
      <w:r w:rsidRPr="00A05DC2">
        <w:rPr>
          <w:rFonts w:asciiTheme="majorHAnsi" w:hAnsiTheme="majorHAnsi"/>
          <w:sz w:val="24"/>
          <w:szCs w:val="24"/>
          <w:lang w:val="en-US"/>
        </w:rPr>
        <w:t>BYR</w:t>
      </w:r>
      <w:r w:rsidRPr="00A05DC2">
        <w:rPr>
          <w:rFonts w:asciiTheme="majorHAnsi" w:hAnsiTheme="majorHAnsi"/>
          <w:sz w:val="24"/>
          <w:szCs w:val="24"/>
        </w:rPr>
        <w:t xml:space="preserve"> 383,2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(наибольший прирост среди видов промышленного производства), объем запасов на 1 апреля</w:t>
      </w:r>
      <w:r w:rsidR="009F672B">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10 025,2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(наибольший объем среди всех видов промышленного производства)</w:t>
      </w:r>
      <w:r w:rsidR="009F672B">
        <w:rPr>
          <w:rFonts w:asciiTheme="majorHAnsi" w:hAnsiTheme="majorHAnsi"/>
          <w:sz w:val="24"/>
          <w:szCs w:val="24"/>
        </w:rPr>
        <w:t>,</w:t>
      </w:r>
      <w:r w:rsidRPr="00A05DC2">
        <w:rPr>
          <w:rFonts w:asciiTheme="majorHAnsi" w:hAnsiTheme="majorHAnsi"/>
          <w:sz w:val="24"/>
          <w:szCs w:val="24"/>
        </w:rPr>
        <w:t xml:space="preserve"> или 243,5% от среднемесячного объема производства. Складские запасы по отдельным позициям превышают четырехмесячные объемы производства – стиральные</w:t>
      </w:r>
      <w:r w:rsidR="009F672B">
        <w:rPr>
          <w:rFonts w:asciiTheme="majorHAnsi" w:hAnsiTheme="majorHAnsi"/>
          <w:sz w:val="24"/>
          <w:szCs w:val="24"/>
        </w:rPr>
        <w:t xml:space="preserve"> </w:t>
      </w:r>
      <w:r w:rsidRPr="00A05DC2">
        <w:rPr>
          <w:rFonts w:asciiTheme="majorHAnsi" w:hAnsiTheme="majorHAnsi"/>
          <w:sz w:val="24"/>
          <w:szCs w:val="24"/>
        </w:rPr>
        <w:t xml:space="preserve">машины (4,5 среднемесячных объемов производства), комбайны зерноуборочные (4,5 месяца), станки для обработки металлов (4,7 месяца), некоторые виды карьерных самосвалов.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было произведено 2 405  станков для обработки дерева и аналогичных твердых материалов, склады данной продукции за март увеличились на  1</w:t>
      </w:r>
      <w:r w:rsidR="009F672B">
        <w:rPr>
          <w:rFonts w:asciiTheme="majorHAnsi" w:hAnsiTheme="majorHAnsi"/>
          <w:sz w:val="24"/>
          <w:szCs w:val="24"/>
        </w:rPr>
        <w:t xml:space="preserve"> </w:t>
      </w:r>
      <w:r w:rsidRPr="00A05DC2">
        <w:rPr>
          <w:rFonts w:asciiTheme="majorHAnsi" w:hAnsiTheme="majorHAnsi"/>
          <w:sz w:val="24"/>
          <w:szCs w:val="24"/>
        </w:rPr>
        <w:t>540 единиц.</w:t>
      </w:r>
    </w:p>
    <w:p w:rsidR="00A05DC2" w:rsidRPr="009F672B" w:rsidRDefault="009F672B" w:rsidP="00C11730">
      <w:pPr>
        <w:tabs>
          <w:tab w:val="left" w:pos="10773"/>
        </w:tabs>
        <w:ind w:right="281"/>
        <w:jc w:val="both"/>
        <w:rPr>
          <w:rFonts w:asciiTheme="majorHAnsi" w:hAnsiTheme="majorHAnsi"/>
          <w:b/>
          <w:sz w:val="24"/>
          <w:szCs w:val="24"/>
        </w:rPr>
      </w:pPr>
      <w:r>
        <w:rPr>
          <w:rFonts w:asciiTheme="majorHAnsi" w:hAnsiTheme="majorHAnsi"/>
          <w:b/>
          <w:sz w:val="24"/>
          <w:szCs w:val="24"/>
        </w:rPr>
        <w:t>Финансовые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Чистый убыток в январе-феврале 2014 года</w:t>
      </w:r>
      <w:r w:rsidR="009F672B">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503,1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(наибольшее значение среди всех отраслей промышленности), в том числе в феврале</w:t>
      </w:r>
      <w:r w:rsidR="009F672B">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133,7 млрд. В январе-феврале 2013 года отрасль заработала чистую прибыль в размере </w:t>
      </w:r>
      <w:r w:rsidRPr="00A05DC2">
        <w:rPr>
          <w:rFonts w:asciiTheme="majorHAnsi" w:hAnsiTheme="majorHAnsi"/>
          <w:sz w:val="24"/>
          <w:szCs w:val="24"/>
          <w:lang w:val="en-US"/>
        </w:rPr>
        <w:t>BYR</w:t>
      </w:r>
      <w:r w:rsidRPr="00A05DC2">
        <w:rPr>
          <w:rFonts w:asciiTheme="majorHAnsi" w:hAnsiTheme="majorHAnsi"/>
          <w:sz w:val="24"/>
          <w:szCs w:val="24"/>
        </w:rPr>
        <w:t xml:space="preserve"> 655,4 млрд. Численность убыточных предприятий по сравнению с январем-февралем 2013 года выросла с 36 до 82 единиц, чистые убытки убыточных предприятий выросли в 16 раз</w:t>
      </w:r>
      <w:r w:rsidR="009F672B">
        <w:rPr>
          <w:rFonts w:asciiTheme="majorHAnsi" w:hAnsiTheme="majorHAnsi"/>
          <w:sz w:val="24"/>
          <w:szCs w:val="24"/>
        </w:rPr>
        <w:t xml:space="preserve"> – </w:t>
      </w:r>
      <w:r w:rsidRPr="00A05DC2">
        <w:rPr>
          <w:rFonts w:asciiTheme="majorHAnsi" w:hAnsiTheme="majorHAnsi"/>
          <w:sz w:val="24"/>
          <w:szCs w:val="24"/>
        </w:rPr>
        <w:t>с</w:t>
      </w:r>
      <w:r w:rsidR="009F672B">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42</w:t>
      </w:r>
      <w:proofErr w:type="gramStart"/>
      <w:r w:rsidRPr="00A05DC2">
        <w:rPr>
          <w:rFonts w:asciiTheme="majorHAnsi" w:hAnsiTheme="majorHAnsi"/>
          <w:sz w:val="24"/>
          <w:szCs w:val="24"/>
        </w:rPr>
        <w:t>,5</w:t>
      </w:r>
      <w:proofErr w:type="gramEnd"/>
      <w:r w:rsidRPr="00A05DC2">
        <w:rPr>
          <w:rFonts w:asciiTheme="majorHAnsi" w:hAnsiTheme="majorHAnsi"/>
          <w:sz w:val="24"/>
          <w:szCs w:val="24"/>
        </w:rPr>
        <w:t xml:space="preserve">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676,5 млрд. Удельный вес убыточных предприятий в отрасли на 1 марта 2014 года составил 37,3 %. Одной из основных причин столь существенного ухудшения финансового состояния отрасли стал убыток </w:t>
      </w:r>
      <w:proofErr w:type="spellStart"/>
      <w:r w:rsidRPr="00A05DC2">
        <w:rPr>
          <w:rFonts w:asciiTheme="majorHAnsi" w:hAnsiTheme="majorHAnsi"/>
          <w:sz w:val="24"/>
          <w:szCs w:val="24"/>
        </w:rPr>
        <w:t>БелАЗа</w:t>
      </w:r>
      <w:proofErr w:type="spellEnd"/>
      <w:r w:rsidRPr="00A05DC2">
        <w:rPr>
          <w:rFonts w:asciiTheme="majorHAnsi" w:hAnsiTheme="majorHAnsi"/>
          <w:sz w:val="24"/>
          <w:szCs w:val="24"/>
        </w:rPr>
        <w:t xml:space="preserve"> в январе-феврале 2014 года в пределах </w:t>
      </w:r>
      <w:r w:rsidRPr="00A05DC2">
        <w:rPr>
          <w:rFonts w:asciiTheme="majorHAnsi" w:hAnsiTheme="majorHAnsi"/>
          <w:sz w:val="24"/>
          <w:szCs w:val="24"/>
          <w:lang w:val="en-US"/>
        </w:rPr>
        <w:t>BYR</w:t>
      </w:r>
      <w:r w:rsidRPr="00A05DC2">
        <w:rPr>
          <w:rFonts w:asciiTheme="majorHAnsi" w:hAnsiTheme="majorHAnsi"/>
          <w:sz w:val="24"/>
          <w:szCs w:val="24"/>
        </w:rPr>
        <w:t xml:space="preserve"> 170-180 млрд.</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Кредиторская задолженность на 1 марта</w:t>
      </w:r>
      <w:r w:rsidR="009F672B">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12 501,8 млрд. Прирост за февраль </w:t>
      </w:r>
      <w:r w:rsidR="009F672B">
        <w:rPr>
          <w:rFonts w:asciiTheme="majorHAnsi" w:hAnsiTheme="majorHAnsi"/>
          <w:sz w:val="24"/>
          <w:szCs w:val="24"/>
        </w:rPr>
        <w:t>–</w:t>
      </w:r>
      <w:r w:rsidRPr="00A05DC2">
        <w:rPr>
          <w:rFonts w:asciiTheme="majorHAnsi" w:hAnsiTheme="majorHAnsi"/>
          <w:sz w:val="24"/>
          <w:szCs w:val="24"/>
        </w:rPr>
        <w:t xml:space="preserve"> на</w:t>
      </w:r>
      <w:r w:rsidR="009F672B">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445,2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в том числе по налогам и сборам</w:t>
      </w:r>
      <w:r w:rsidR="009F672B">
        <w:rPr>
          <w:rFonts w:asciiTheme="majorHAnsi" w:hAnsiTheme="majorHAnsi"/>
          <w:sz w:val="24"/>
          <w:szCs w:val="24"/>
        </w:rPr>
        <w:t xml:space="preserve"> – </w:t>
      </w:r>
      <w:r w:rsidRPr="00A05DC2">
        <w:rPr>
          <w:rFonts w:asciiTheme="majorHAnsi" w:hAnsiTheme="majorHAnsi"/>
          <w:sz w:val="24"/>
          <w:szCs w:val="24"/>
        </w:rPr>
        <w:t>на</w:t>
      </w:r>
      <w:r w:rsidR="009F672B">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91,3 млрд. Задолженность отрасли перед внешними контрагентами сократилась в феврале на </w:t>
      </w:r>
      <w:r w:rsidRPr="00A05DC2">
        <w:rPr>
          <w:rFonts w:asciiTheme="majorHAnsi" w:hAnsiTheme="majorHAnsi"/>
          <w:sz w:val="24"/>
          <w:szCs w:val="24"/>
          <w:lang w:val="en-US"/>
        </w:rPr>
        <w:t>BYR</w:t>
      </w:r>
      <w:r w:rsidRPr="00A05DC2">
        <w:rPr>
          <w:rFonts w:asciiTheme="majorHAnsi" w:hAnsiTheme="majorHAnsi"/>
          <w:sz w:val="24"/>
          <w:szCs w:val="24"/>
        </w:rPr>
        <w:t xml:space="preserve"> 87,8 млрд. Просроченная кредиторская задолженность на 1 марта</w:t>
      </w:r>
      <w:r w:rsidR="009F672B">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2 528,4 млрд. За февраль</w:t>
      </w:r>
      <w:r w:rsidR="009F672B">
        <w:rPr>
          <w:rFonts w:asciiTheme="majorHAnsi" w:hAnsiTheme="majorHAnsi"/>
          <w:sz w:val="24"/>
          <w:szCs w:val="24"/>
        </w:rPr>
        <w:t xml:space="preserve"> – </w:t>
      </w:r>
      <w:r w:rsidRPr="00A05DC2">
        <w:rPr>
          <w:rFonts w:asciiTheme="majorHAnsi" w:hAnsiTheme="majorHAnsi"/>
          <w:sz w:val="24"/>
          <w:szCs w:val="24"/>
        </w:rPr>
        <w:t>прирост</w:t>
      </w:r>
      <w:r w:rsidR="009F672B">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17,7 млрд. Причиной увеличения просроченной задолженности являются несвоевременные платежи внутри страны. Задолженность перед иностранными контрагентами сократилась на </w:t>
      </w:r>
      <w:r w:rsidRPr="00A05DC2">
        <w:rPr>
          <w:rFonts w:asciiTheme="majorHAnsi" w:hAnsiTheme="majorHAnsi"/>
          <w:sz w:val="24"/>
          <w:szCs w:val="24"/>
          <w:lang w:val="en-US"/>
        </w:rPr>
        <w:t>BYR</w:t>
      </w:r>
      <w:r w:rsidRPr="00A05DC2">
        <w:rPr>
          <w:rFonts w:asciiTheme="majorHAnsi" w:hAnsiTheme="majorHAnsi"/>
          <w:sz w:val="24"/>
          <w:szCs w:val="24"/>
        </w:rPr>
        <w:t xml:space="preserve"> 73,5 млрд. Удельный вес просроченной кредиторской задолженности – 20,22% (выше среднего значения по промышленности). В </w:t>
      </w:r>
      <w:proofErr w:type="gramStart"/>
      <w:r w:rsidRPr="00A05DC2">
        <w:rPr>
          <w:rFonts w:asciiTheme="majorHAnsi" w:hAnsiTheme="majorHAnsi"/>
          <w:sz w:val="24"/>
          <w:szCs w:val="24"/>
        </w:rPr>
        <w:t>феврале</w:t>
      </w:r>
      <w:proofErr w:type="gramEnd"/>
      <w:r w:rsidRPr="00A05DC2">
        <w:rPr>
          <w:rFonts w:asciiTheme="majorHAnsi" w:hAnsiTheme="majorHAnsi"/>
          <w:sz w:val="24"/>
          <w:szCs w:val="24"/>
        </w:rPr>
        <w:t xml:space="preserve"> отмечено сокращение просроченной задолженности по налогам и сборам – на </w:t>
      </w:r>
      <w:r w:rsidRPr="00A05DC2">
        <w:rPr>
          <w:rFonts w:asciiTheme="majorHAnsi" w:hAnsiTheme="majorHAnsi"/>
          <w:sz w:val="24"/>
          <w:szCs w:val="24"/>
          <w:lang w:val="en-US"/>
        </w:rPr>
        <w:t>BYR</w:t>
      </w:r>
      <w:r w:rsidRPr="00A05DC2">
        <w:rPr>
          <w:rFonts w:asciiTheme="majorHAnsi" w:hAnsiTheme="majorHAnsi"/>
          <w:sz w:val="24"/>
          <w:szCs w:val="24"/>
        </w:rPr>
        <w:t xml:space="preserve"> 10,3 млрд.</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Дебиторская задолженность на 1 марта</w:t>
      </w:r>
      <w:r w:rsidR="009F672B">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20 331,1 млрд. Прирост за февраль </w:t>
      </w:r>
      <w:r w:rsidR="009F672B">
        <w:rPr>
          <w:rFonts w:asciiTheme="majorHAnsi" w:hAnsiTheme="majorHAnsi"/>
          <w:sz w:val="24"/>
          <w:szCs w:val="24"/>
        </w:rPr>
        <w:t>–</w:t>
      </w:r>
      <w:r w:rsidRPr="00A05DC2">
        <w:rPr>
          <w:rFonts w:asciiTheme="majorHAnsi" w:hAnsiTheme="majorHAnsi"/>
          <w:sz w:val="24"/>
          <w:szCs w:val="24"/>
        </w:rPr>
        <w:t xml:space="preserve"> на</w:t>
      </w:r>
      <w:r w:rsidR="009F672B">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282,4 млрд. Увеличение задолженности произошло во взаиморасчетах с нерезидентами. Просроченная дебиторская задолженность на 1 марта</w:t>
      </w:r>
      <w:r w:rsidR="009F672B">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2 638,5 млрд. За февраль</w:t>
      </w:r>
      <w:r w:rsidR="009F672B">
        <w:rPr>
          <w:rFonts w:asciiTheme="majorHAnsi" w:hAnsiTheme="majorHAnsi"/>
          <w:sz w:val="24"/>
          <w:szCs w:val="24"/>
        </w:rPr>
        <w:t xml:space="preserve"> – </w:t>
      </w:r>
      <w:r w:rsidRPr="00A05DC2">
        <w:rPr>
          <w:rFonts w:asciiTheme="majorHAnsi" w:hAnsiTheme="majorHAnsi"/>
          <w:sz w:val="24"/>
          <w:szCs w:val="24"/>
        </w:rPr>
        <w:t xml:space="preserve">прирост на </w:t>
      </w:r>
      <w:r w:rsidRPr="00A05DC2">
        <w:rPr>
          <w:rFonts w:asciiTheme="majorHAnsi" w:hAnsiTheme="majorHAnsi"/>
          <w:sz w:val="24"/>
          <w:szCs w:val="24"/>
          <w:lang w:val="en-US"/>
        </w:rPr>
        <w:t>BYR</w:t>
      </w:r>
      <w:r w:rsidRPr="00A05DC2">
        <w:rPr>
          <w:rFonts w:asciiTheme="majorHAnsi" w:hAnsiTheme="majorHAnsi"/>
          <w:sz w:val="24"/>
          <w:szCs w:val="24"/>
        </w:rPr>
        <w:t xml:space="preserve"> 29,0 млрд. Удельный вес просроченной дебиторской задолженности – 12,98%, что ниже среднего значения в промышленности. Относительно низкий уровень просроченной дебиторской задолженности связан со значительными сроками рассрочек по поставляемой технике для нужд сельского хозяйства.</w:t>
      </w:r>
    </w:p>
    <w:p w:rsidR="00A05DC2" w:rsidRPr="009F672B" w:rsidRDefault="009F672B" w:rsidP="00C11730">
      <w:pPr>
        <w:tabs>
          <w:tab w:val="left" w:pos="10773"/>
        </w:tabs>
        <w:ind w:right="281"/>
        <w:jc w:val="both"/>
        <w:rPr>
          <w:rFonts w:asciiTheme="majorHAnsi" w:hAnsiTheme="majorHAnsi"/>
          <w:b/>
          <w:sz w:val="24"/>
          <w:szCs w:val="24"/>
        </w:rPr>
      </w:pPr>
      <w:r>
        <w:rPr>
          <w:rFonts w:asciiTheme="majorHAnsi" w:hAnsiTheme="majorHAnsi"/>
          <w:b/>
          <w:sz w:val="24"/>
          <w:szCs w:val="24"/>
        </w:rPr>
        <w:lastRenderedPageBreak/>
        <w:t>Текущая ситуация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Несмотря на введение специальных защитных мер в виде импортных квот на поставку зерноуборочных комбайнов в страны ТС, импортеры данной продукции смогли найти способ обхода ограничений. При поставке техники происходит частичная разборка комбайнов, разобранные элементы декларируются как запасные части, после прохождения </w:t>
      </w:r>
      <w:proofErr w:type="gramStart"/>
      <w:r w:rsidRPr="00A05DC2">
        <w:rPr>
          <w:rFonts w:asciiTheme="majorHAnsi" w:hAnsiTheme="majorHAnsi"/>
          <w:sz w:val="24"/>
          <w:szCs w:val="24"/>
        </w:rPr>
        <w:t>границы</w:t>
      </w:r>
      <w:proofErr w:type="gramEnd"/>
      <w:r w:rsidRPr="00A05DC2">
        <w:rPr>
          <w:rFonts w:asciiTheme="majorHAnsi" w:hAnsiTheme="majorHAnsi"/>
          <w:sz w:val="24"/>
          <w:szCs w:val="24"/>
        </w:rPr>
        <w:t xml:space="preserve"> разобранные машины возвращаются в первоначальное состояние. Данные манипуляции позволят сохранить объемы импорта данной продукции и тем самым снизят продажи российской и белорусской техники.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На рынке стран Таможенного союза ожидается усиление конкуренции в сегменте техники для сельского хозяйства. Компания "</w:t>
      </w:r>
      <w:proofErr w:type="spellStart"/>
      <w:r w:rsidRPr="00A05DC2">
        <w:rPr>
          <w:rFonts w:asciiTheme="majorHAnsi" w:hAnsiTheme="majorHAnsi"/>
          <w:sz w:val="24"/>
          <w:szCs w:val="24"/>
          <w:lang w:val="en-US"/>
        </w:rPr>
        <w:t>Claas</w:t>
      </w:r>
      <w:proofErr w:type="spellEnd"/>
      <w:r w:rsidRPr="00A05DC2">
        <w:rPr>
          <w:rFonts w:asciiTheme="majorHAnsi" w:hAnsiTheme="majorHAnsi"/>
          <w:sz w:val="24"/>
          <w:szCs w:val="24"/>
        </w:rPr>
        <w:t>"готова организовать в Казахстане производство больших тракторов марки "XERION", высокотехнологичных посадочных комплексов "</w:t>
      </w:r>
      <w:proofErr w:type="spellStart"/>
      <w:r w:rsidRPr="00A05DC2">
        <w:rPr>
          <w:rFonts w:asciiTheme="majorHAnsi" w:hAnsiTheme="majorHAnsi"/>
          <w:sz w:val="24"/>
          <w:szCs w:val="24"/>
        </w:rPr>
        <w:t>Airseeder</w:t>
      </w:r>
      <w:proofErr w:type="spellEnd"/>
      <w:r w:rsidRPr="00A05DC2">
        <w:rPr>
          <w:rFonts w:asciiTheme="majorHAnsi" w:hAnsiTheme="majorHAnsi"/>
          <w:sz w:val="24"/>
          <w:szCs w:val="24"/>
        </w:rPr>
        <w:t>" компании "</w:t>
      </w:r>
      <w:proofErr w:type="spellStart"/>
      <w:r w:rsidRPr="00A05DC2">
        <w:rPr>
          <w:rFonts w:asciiTheme="majorHAnsi" w:hAnsiTheme="majorHAnsi"/>
          <w:sz w:val="24"/>
          <w:szCs w:val="24"/>
        </w:rPr>
        <w:t>Horsch</w:t>
      </w:r>
      <w:proofErr w:type="spellEnd"/>
      <w:r w:rsidRPr="00A05DC2">
        <w:rPr>
          <w:rFonts w:asciiTheme="majorHAnsi" w:hAnsiTheme="majorHAnsi"/>
          <w:sz w:val="24"/>
          <w:szCs w:val="24"/>
        </w:rPr>
        <w:t xml:space="preserve">" и высокопроизводительных комбайнов марки "TUCANO". Первая экспериментальная монтажная сборка техники уже состоялась в </w:t>
      </w:r>
      <w:proofErr w:type="gramStart"/>
      <w:r w:rsidRPr="00A05DC2">
        <w:rPr>
          <w:rFonts w:asciiTheme="majorHAnsi" w:hAnsiTheme="majorHAnsi"/>
          <w:sz w:val="24"/>
          <w:szCs w:val="24"/>
        </w:rPr>
        <w:t>г</w:t>
      </w:r>
      <w:proofErr w:type="gramEnd"/>
      <w:r w:rsidRPr="00A05DC2">
        <w:rPr>
          <w:rFonts w:asciiTheme="majorHAnsi" w:hAnsiTheme="majorHAnsi"/>
          <w:sz w:val="24"/>
          <w:szCs w:val="24"/>
        </w:rPr>
        <w:t>. Акколь. Поставки продукции в случае успешной реализации проекта могут осуществляться в Сибирь, страны СНГ, Монголию.</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 целью стимулирования продаж отечественной техники было открыто льготное финансирование СП ЗАО "</w:t>
      </w:r>
      <w:proofErr w:type="spellStart"/>
      <w:r w:rsidRPr="00A05DC2">
        <w:rPr>
          <w:rFonts w:asciiTheme="majorHAnsi" w:hAnsiTheme="majorHAnsi"/>
          <w:sz w:val="24"/>
          <w:szCs w:val="24"/>
        </w:rPr>
        <w:t>Брянсксельмаш</w:t>
      </w:r>
      <w:proofErr w:type="spellEnd"/>
      <w:r w:rsidRPr="00A05DC2">
        <w:rPr>
          <w:rFonts w:asciiTheme="majorHAnsi" w:hAnsiTheme="majorHAnsi"/>
          <w:sz w:val="24"/>
          <w:szCs w:val="24"/>
        </w:rPr>
        <w:t xml:space="preserve">" для импорта из Беларуси </w:t>
      </w:r>
      <w:proofErr w:type="spellStart"/>
      <w:r w:rsidRPr="00A05DC2">
        <w:rPr>
          <w:rFonts w:asciiTheme="majorHAnsi" w:hAnsiTheme="majorHAnsi"/>
          <w:sz w:val="24"/>
          <w:szCs w:val="24"/>
        </w:rPr>
        <w:t>машинокомплектов</w:t>
      </w:r>
      <w:proofErr w:type="spellEnd"/>
      <w:r w:rsidRPr="00A05DC2">
        <w:rPr>
          <w:rFonts w:asciiTheme="majorHAnsi" w:hAnsiTheme="majorHAnsi"/>
          <w:sz w:val="24"/>
          <w:szCs w:val="24"/>
        </w:rPr>
        <w:t xml:space="preserve"> производства ОАО "</w:t>
      </w:r>
      <w:proofErr w:type="spellStart"/>
      <w:r w:rsidRPr="00A05DC2">
        <w:rPr>
          <w:rFonts w:asciiTheme="majorHAnsi" w:hAnsiTheme="majorHAnsi"/>
          <w:sz w:val="24"/>
          <w:szCs w:val="24"/>
        </w:rPr>
        <w:t>Гомсельмаш</w:t>
      </w:r>
      <w:proofErr w:type="spellEnd"/>
      <w:r w:rsidRPr="00A05DC2">
        <w:rPr>
          <w:rFonts w:asciiTheme="majorHAnsi" w:hAnsiTheme="majorHAnsi"/>
          <w:sz w:val="24"/>
          <w:szCs w:val="24"/>
        </w:rPr>
        <w:t xml:space="preserve">". Объем кредита составит </w:t>
      </w:r>
      <w:r w:rsidRPr="00A05DC2">
        <w:rPr>
          <w:rFonts w:asciiTheme="majorHAnsi" w:hAnsiTheme="majorHAnsi"/>
          <w:sz w:val="24"/>
          <w:szCs w:val="24"/>
          <w:lang w:val="en-US"/>
        </w:rPr>
        <w:t>USD</w:t>
      </w:r>
      <w:r w:rsidRPr="00A05DC2">
        <w:rPr>
          <w:rFonts w:asciiTheme="majorHAnsi" w:hAnsiTheme="majorHAnsi"/>
          <w:sz w:val="24"/>
          <w:szCs w:val="24"/>
        </w:rPr>
        <w:t xml:space="preserve"> 100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сроком на 5 лет по коммерческо-ориентированной ставке (</w:t>
      </w:r>
      <w:r w:rsidRPr="00A05DC2">
        <w:rPr>
          <w:rFonts w:asciiTheme="majorHAnsi" w:hAnsiTheme="majorHAnsi"/>
          <w:sz w:val="24"/>
          <w:szCs w:val="24"/>
          <w:lang w:val="en-US"/>
        </w:rPr>
        <w:t>CIRR</w:t>
      </w:r>
      <w:r w:rsidRPr="00A05DC2">
        <w:rPr>
          <w:rFonts w:asciiTheme="majorHAnsi" w:hAnsiTheme="majorHAnsi"/>
          <w:sz w:val="24"/>
          <w:szCs w:val="24"/>
        </w:rPr>
        <w:t xml:space="preserve">-по состоянию на начало мая </w:t>
      </w:r>
      <w:r w:rsidR="009F672B">
        <w:rPr>
          <w:rFonts w:asciiTheme="majorHAnsi" w:hAnsiTheme="majorHAnsi"/>
          <w:sz w:val="24"/>
          <w:szCs w:val="24"/>
        </w:rPr>
        <w:t xml:space="preserve">– </w:t>
      </w:r>
      <w:r w:rsidRPr="00A05DC2">
        <w:rPr>
          <w:rFonts w:asciiTheme="majorHAnsi" w:hAnsiTheme="majorHAnsi"/>
          <w:sz w:val="24"/>
          <w:szCs w:val="24"/>
        </w:rPr>
        <w:t xml:space="preserve">1,82% годовых в </w:t>
      </w:r>
      <w:r w:rsidRPr="00A05DC2">
        <w:rPr>
          <w:rFonts w:asciiTheme="majorHAnsi" w:hAnsiTheme="majorHAnsi"/>
          <w:sz w:val="24"/>
          <w:szCs w:val="24"/>
          <w:lang w:val="en-US"/>
        </w:rPr>
        <w:t>USD</w:t>
      </w:r>
      <w:r w:rsidRPr="00A05DC2">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Сложная финансовая ситуация складывается на </w:t>
      </w:r>
      <w:proofErr w:type="spellStart"/>
      <w:r w:rsidRPr="00A05DC2">
        <w:rPr>
          <w:rFonts w:asciiTheme="majorHAnsi" w:hAnsiTheme="majorHAnsi"/>
          <w:sz w:val="24"/>
          <w:szCs w:val="24"/>
        </w:rPr>
        <w:t>БелАЗе</w:t>
      </w:r>
      <w:proofErr w:type="spellEnd"/>
      <w:r w:rsidRPr="00A05DC2">
        <w:rPr>
          <w:rFonts w:asciiTheme="majorHAnsi" w:hAnsiTheme="majorHAnsi"/>
          <w:sz w:val="24"/>
          <w:szCs w:val="24"/>
        </w:rPr>
        <w:t xml:space="preserve">. Предприятие работает с убытками, производственные показатели по итогам 1 квартала 2014 года более чем в 2 раза отстают от результатов 2013 года. Основной задачей перед предприятием на фоне проблем с реализацией продукции на внешних рынках стоит снижение складских запасов. Определенные надежды на предприятии связывают с рынком Южной Америки, где был найден стратегический партнер. Основным рынком для предприятия остается Россия, отгрузки в которую, в отличие от массовых отгрузок прошлых лет на данном этапе осуществляются точечно. В 2014 году предприятию будет выделено </w:t>
      </w:r>
      <w:r w:rsidRPr="00A05DC2">
        <w:rPr>
          <w:rFonts w:asciiTheme="majorHAnsi" w:hAnsiTheme="majorHAnsi"/>
          <w:sz w:val="24"/>
          <w:szCs w:val="24"/>
          <w:lang w:val="en-US"/>
        </w:rPr>
        <w:t>BYR</w:t>
      </w:r>
      <w:r w:rsidRPr="00A05DC2">
        <w:rPr>
          <w:rFonts w:asciiTheme="majorHAnsi" w:hAnsiTheme="majorHAnsi"/>
          <w:sz w:val="24"/>
          <w:szCs w:val="24"/>
        </w:rPr>
        <w:t xml:space="preserve"> 213,2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внутренних кредитных ресурсов и </w:t>
      </w:r>
      <w:r w:rsidRPr="00A05DC2">
        <w:rPr>
          <w:rFonts w:asciiTheme="majorHAnsi" w:hAnsiTheme="majorHAnsi"/>
          <w:sz w:val="24"/>
          <w:szCs w:val="24"/>
          <w:lang w:val="en-US"/>
        </w:rPr>
        <w:t>BYR</w:t>
      </w:r>
      <w:r w:rsidRPr="00A05DC2">
        <w:rPr>
          <w:rFonts w:asciiTheme="majorHAnsi" w:hAnsiTheme="majorHAnsi"/>
          <w:sz w:val="24"/>
          <w:szCs w:val="24"/>
        </w:rPr>
        <w:t xml:space="preserve"> 360,7 </w:t>
      </w:r>
      <w:proofErr w:type="spellStart"/>
      <w:r w:rsidRPr="00A05DC2">
        <w:rPr>
          <w:rFonts w:asciiTheme="majorHAnsi" w:hAnsiTheme="majorHAnsi"/>
          <w:sz w:val="24"/>
          <w:szCs w:val="24"/>
        </w:rPr>
        <w:t>млрд</w:t>
      </w:r>
      <w:proofErr w:type="spellEnd"/>
      <w:r w:rsidR="009F672B">
        <w:rPr>
          <w:rFonts w:asciiTheme="majorHAnsi" w:hAnsiTheme="majorHAnsi"/>
          <w:sz w:val="24"/>
          <w:szCs w:val="24"/>
        </w:rPr>
        <w:t xml:space="preserve"> – </w:t>
      </w:r>
      <w:r w:rsidRPr="00A05DC2">
        <w:rPr>
          <w:rFonts w:asciiTheme="majorHAnsi" w:hAnsiTheme="majorHAnsi"/>
          <w:sz w:val="24"/>
          <w:szCs w:val="24"/>
        </w:rPr>
        <w:t>внешних</w:t>
      </w:r>
      <w:r w:rsidR="009F672B">
        <w:rPr>
          <w:rFonts w:asciiTheme="majorHAnsi" w:hAnsiTheme="majorHAnsi"/>
          <w:sz w:val="24"/>
          <w:szCs w:val="24"/>
        </w:rPr>
        <w:t xml:space="preserve"> –</w:t>
      </w:r>
      <w:r w:rsidRPr="00A05DC2">
        <w:rPr>
          <w:rFonts w:asciiTheme="majorHAnsi" w:hAnsiTheme="majorHAnsi"/>
          <w:sz w:val="24"/>
          <w:szCs w:val="24"/>
        </w:rPr>
        <w:t xml:space="preserve"> для</w:t>
      </w:r>
      <w:r w:rsidR="009F672B">
        <w:rPr>
          <w:rFonts w:asciiTheme="majorHAnsi" w:hAnsiTheme="majorHAnsi"/>
          <w:sz w:val="24"/>
          <w:szCs w:val="24"/>
        </w:rPr>
        <w:t xml:space="preserve"> </w:t>
      </w:r>
      <w:r w:rsidRPr="00A05DC2">
        <w:rPr>
          <w:rFonts w:asciiTheme="majorHAnsi" w:hAnsiTheme="majorHAnsi"/>
          <w:sz w:val="24"/>
          <w:szCs w:val="24"/>
        </w:rPr>
        <w:t>реализации проекта по созданию мощностей и увеличения производства самосвалов грузоподъемностью 90-450 тонн.</w:t>
      </w:r>
    </w:p>
    <w:p w:rsidR="001102AF"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Сохраняется сложная ситуация у крупнейшего белорусского производителя бытовой техники</w:t>
      </w:r>
      <w:r w:rsidR="009F672B">
        <w:rPr>
          <w:rFonts w:asciiTheme="majorHAnsi" w:hAnsiTheme="majorHAnsi"/>
          <w:sz w:val="24"/>
          <w:szCs w:val="24"/>
        </w:rPr>
        <w:t xml:space="preserve"> – </w:t>
      </w:r>
      <w:r w:rsidRPr="00A05DC2">
        <w:rPr>
          <w:rFonts w:asciiTheme="majorHAnsi" w:hAnsiTheme="majorHAnsi"/>
          <w:sz w:val="24"/>
          <w:szCs w:val="24"/>
        </w:rPr>
        <w:t>завода</w:t>
      </w:r>
      <w:r w:rsidR="009F672B">
        <w:rPr>
          <w:rFonts w:asciiTheme="majorHAnsi" w:hAnsiTheme="majorHAnsi"/>
          <w:sz w:val="24"/>
          <w:szCs w:val="24"/>
        </w:rPr>
        <w:t xml:space="preserve"> </w:t>
      </w:r>
      <w:r w:rsidRPr="00A05DC2">
        <w:rPr>
          <w:rFonts w:asciiTheme="majorHAnsi" w:hAnsiTheme="majorHAnsi"/>
          <w:sz w:val="24"/>
          <w:szCs w:val="24"/>
        </w:rPr>
        <w:t xml:space="preserve">Атлант.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производство стиральных машин упало на 41,8% , холодильников и морозильников бытовых </w:t>
      </w:r>
      <w:r w:rsidR="009F672B">
        <w:rPr>
          <w:rFonts w:asciiTheme="majorHAnsi" w:hAnsiTheme="majorHAnsi"/>
          <w:sz w:val="24"/>
          <w:szCs w:val="24"/>
        </w:rPr>
        <w:t>–</w:t>
      </w:r>
      <w:r w:rsidRPr="00A05DC2">
        <w:rPr>
          <w:rFonts w:asciiTheme="majorHAnsi" w:hAnsiTheme="majorHAnsi"/>
          <w:sz w:val="24"/>
          <w:szCs w:val="24"/>
        </w:rPr>
        <w:t xml:space="preserve"> на</w:t>
      </w:r>
      <w:r w:rsidR="009F672B">
        <w:rPr>
          <w:rFonts w:asciiTheme="majorHAnsi" w:hAnsiTheme="majorHAnsi"/>
          <w:sz w:val="24"/>
          <w:szCs w:val="24"/>
        </w:rPr>
        <w:t xml:space="preserve"> </w:t>
      </w:r>
      <w:r w:rsidRPr="00A05DC2">
        <w:rPr>
          <w:rFonts w:asciiTheme="majorHAnsi" w:hAnsiTheme="majorHAnsi"/>
          <w:sz w:val="24"/>
          <w:szCs w:val="24"/>
        </w:rPr>
        <w:t>10,8%. Падение производства не приводит к сокращению складских запасов. На складах по состоянию на 1 апреля находятся 236,1 тыс. холодильников и морозильников (2,7 среднемесячных объемов производства) и 59,6 тыс. стиральных машин (4,5 среднемесячных объемов производства)</w:t>
      </w:r>
      <w:r w:rsidR="001102AF">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 </w:t>
      </w:r>
    </w:p>
    <w:p w:rsidR="00A05DC2" w:rsidRPr="001102AF" w:rsidRDefault="00A05DC2" w:rsidP="00C11730">
      <w:pPr>
        <w:tabs>
          <w:tab w:val="left" w:pos="10773"/>
        </w:tabs>
        <w:ind w:right="281"/>
        <w:jc w:val="both"/>
        <w:rPr>
          <w:rFonts w:asciiTheme="majorHAnsi" w:hAnsiTheme="majorHAnsi"/>
          <w:b/>
          <w:sz w:val="24"/>
          <w:szCs w:val="24"/>
        </w:rPr>
      </w:pPr>
      <w:r w:rsidRPr="001102AF">
        <w:rPr>
          <w:rFonts w:asciiTheme="majorHAnsi" w:hAnsiTheme="majorHAnsi"/>
          <w:b/>
          <w:sz w:val="24"/>
          <w:szCs w:val="24"/>
          <w:lang w:val="en-US"/>
        </w:rPr>
        <w:t>II</w:t>
      </w:r>
      <w:r w:rsidRPr="001102AF">
        <w:rPr>
          <w:rFonts w:asciiTheme="majorHAnsi" w:hAnsiTheme="majorHAnsi"/>
          <w:b/>
          <w:sz w:val="24"/>
          <w:szCs w:val="24"/>
        </w:rPr>
        <w:t>. Сельское хозяйство</w:t>
      </w:r>
    </w:p>
    <w:p w:rsidR="00A05DC2" w:rsidRPr="001102AF" w:rsidRDefault="00A05DC2" w:rsidP="00C11730">
      <w:pPr>
        <w:tabs>
          <w:tab w:val="left" w:pos="10773"/>
        </w:tabs>
        <w:ind w:right="281"/>
        <w:jc w:val="both"/>
        <w:rPr>
          <w:rFonts w:asciiTheme="majorHAnsi" w:hAnsiTheme="majorHAnsi"/>
          <w:b/>
          <w:sz w:val="24"/>
          <w:szCs w:val="24"/>
        </w:rPr>
      </w:pPr>
      <w:r w:rsidRPr="001102AF">
        <w:rPr>
          <w:rFonts w:asciiTheme="majorHAnsi" w:hAnsiTheme="majorHAnsi"/>
          <w:b/>
          <w:sz w:val="24"/>
          <w:szCs w:val="24"/>
        </w:rPr>
        <w:t>Производственные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производства продукции за январь-март 2014 года </w:t>
      </w:r>
      <w:r w:rsidRPr="00A05DC2">
        <w:rPr>
          <w:rFonts w:asciiTheme="majorHAnsi" w:hAnsiTheme="majorHAnsi"/>
          <w:sz w:val="24"/>
          <w:szCs w:val="24"/>
          <w:lang w:val="en-US"/>
        </w:rPr>
        <w:t>BYR</w:t>
      </w:r>
      <w:r w:rsidRPr="00A05DC2">
        <w:rPr>
          <w:rFonts w:asciiTheme="majorHAnsi" w:hAnsiTheme="majorHAnsi"/>
          <w:sz w:val="24"/>
          <w:szCs w:val="24"/>
        </w:rPr>
        <w:t xml:space="preserve"> 15,8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в том числе в марте</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5,6 трлн. Индекс производства сельскохозяйственной продукции</w:t>
      </w:r>
      <w:r w:rsidR="001102AF">
        <w:rPr>
          <w:rFonts w:asciiTheme="majorHAnsi" w:hAnsiTheme="majorHAnsi"/>
          <w:sz w:val="24"/>
          <w:szCs w:val="24"/>
        </w:rPr>
        <w:t xml:space="preserve"> – </w:t>
      </w:r>
      <w:r w:rsidRPr="00A05DC2">
        <w:rPr>
          <w:rFonts w:asciiTheme="majorHAnsi" w:hAnsiTheme="majorHAnsi"/>
          <w:sz w:val="24"/>
          <w:szCs w:val="24"/>
        </w:rPr>
        <w:t>95,3% к январю-марту 2013 года, в том числе март</w:t>
      </w:r>
      <w:r w:rsidR="001102AF">
        <w:rPr>
          <w:rFonts w:asciiTheme="majorHAnsi" w:hAnsiTheme="majorHAnsi"/>
          <w:sz w:val="24"/>
          <w:szCs w:val="24"/>
        </w:rPr>
        <w:t xml:space="preserve"> – </w:t>
      </w:r>
      <w:r w:rsidRPr="00A05DC2">
        <w:rPr>
          <w:rFonts w:asciiTheme="majorHAnsi" w:hAnsiTheme="majorHAnsi"/>
          <w:sz w:val="24"/>
          <w:szCs w:val="24"/>
        </w:rPr>
        <w:t xml:space="preserve">94,2% Падение производства происходит в результате снижения </w:t>
      </w:r>
      <w:r w:rsidRPr="00A05DC2">
        <w:rPr>
          <w:rFonts w:asciiTheme="majorHAnsi" w:hAnsiTheme="majorHAnsi"/>
          <w:sz w:val="24"/>
          <w:szCs w:val="24"/>
        </w:rPr>
        <w:lastRenderedPageBreak/>
        <w:t xml:space="preserve">производства молока и свинины. Поголовье свиней в результате АЧС сократилось на 1 апреля 2014 года на 20,1%  по сравнению с мартом 2013 года. 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сокращение поголовья свиней составило 17,8 тыс. голов.</w:t>
      </w:r>
    </w:p>
    <w:p w:rsidR="00A05DC2" w:rsidRPr="001102AF" w:rsidRDefault="001102AF" w:rsidP="00C11730">
      <w:pPr>
        <w:tabs>
          <w:tab w:val="left" w:pos="10773"/>
        </w:tabs>
        <w:ind w:right="281"/>
        <w:jc w:val="both"/>
        <w:rPr>
          <w:rFonts w:asciiTheme="majorHAnsi" w:hAnsiTheme="majorHAnsi"/>
          <w:b/>
          <w:sz w:val="24"/>
          <w:szCs w:val="24"/>
        </w:rPr>
      </w:pPr>
      <w:r>
        <w:rPr>
          <w:rFonts w:asciiTheme="majorHAnsi" w:hAnsiTheme="majorHAnsi"/>
          <w:b/>
          <w:sz w:val="24"/>
          <w:szCs w:val="24"/>
        </w:rPr>
        <w:t>Финансовые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Чистая прибыль в январе-феврале 2014 года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668,1 млрд. Снижение относительно января-февраля 2013 года на </w:t>
      </w:r>
      <w:r w:rsidRPr="00A05DC2">
        <w:rPr>
          <w:rFonts w:asciiTheme="majorHAnsi" w:hAnsiTheme="majorHAnsi"/>
          <w:sz w:val="24"/>
          <w:szCs w:val="24"/>
          <w:lang w:val="en-US"/>
        </w:rPr>
        <w:t>BYR</w:t>
      </w:r>
      <w:r w:rsidRPr="00A05DC2">
        <w:rPr>
          <w:rFonts w:asciiTheme="majorHAnsi" w:hAnsiTheme="majorHAnsi"/>
          <w:sz w:val="24"/>
          <w:szCs w:val="24"/>
        </w:rPr>
        <w:t xml:space="preserve"> 305,3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или на 31,4%. Численность убыточных предприятий по сравнению с январем-февралем 2013 года выросла с 56 до 128 единиц, а чистые убытки убыточных предприятий</w:t>
      </w:r>
      <w:r w:rsidR="001102AF">
        <w:rPr>
          <w:rFonts w:asciiTheme="majorHAnsi" w:hAnsiTheme="majorHAnsi"/>
          <w:sz w:val="24"/>
          <w:szCs w:val="24"/>
        </w:rPr>
        <w:t xml:space="preserve"> – </w:t>
      </w:r>
      <w:r w:rsidRPr="00A05DC2">
        <w:rPr>
          <w:rFonts w:asciiTheme="majorHAnsi" w:hAnsiTheme="majorHAnsi"/>
          <w:sz w:val="24"/>
          <w:szCs w:val="24"/>
        </w:rPr>
        <w:t>в</w:t>
      </w:r>
      <w:r w:rsidR="001102AF">
        <w:rPr>
          <w:rFonts w:asciiTheme="majorHAnsi" w:hAnsiTheme="majorHAnsi"/>
          <w:sz w:val="24"/>
          <w:szCs w:val="24"/>
        </w:rPr>
        <w:t xml:space="preserve"> </w:t>
      </w:r>
      <w:r w:rsidRPr="00A05DC2">
        <w:rPr>
          <w:rFonts w:asciiTheme="majorHAnsi" w:hAnsiTheme="majorHAnsi"/>
          <w:sz w:val="24"/>
          <w:szCs w:val="24"/>
        </w:rPr>
        <w:t xml:space="preserve">5,2 раза, с </w:t>
      </w:r>
      <w:r w:rsidRPr="00A05DC2">
        <w:rPr>
          <w:rFonts w:asciiTheme="majorHAnsi" w:hAnsiTheme="majorHAnsi"/>
          <w:sz w:val="24"/>
          <w:szCs w:val="24"/>
          <w:lang w:val="en-US"/>
        </w:rPr>
        <w:t>BYR</w:t>
      </w:r>
      <w:r w:rsidRPr="00A05DC2">
        <w:rPr>
          <w:rFonts w:asciiTheme="majorHAnsi" w:hAnsiTheme="majorHAnsi"/>
          <w:sz w:val="24"/>
          <w:szCs w:val="24"/>
        </w:rPr>
        <w:t xml:space="preserve"> 32,8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171,5 млрд. Удельный вес убыточных предприятий (с учетом господдержки) в отрасли на 1 марта 2014 года составил 8,6 %. Без господдержки убыточными были 48,6% предприятий</w:t>
      </w:r>
      <w:r w:rsidR="001102AF">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Кредиторская задолженность на 1 марта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40,2 трлн. Прирост за февраль </w:t>
      </w:r>
      <w:r w:rsidR="001102AF">
        <w:rPr>
          <w:rFonts w:asciiTheme="majorHAnsi" w:hAnsiTheme="majorHAnsi"/>
          <w:sz w:val="24"/>
          <w:szCs w:val="24"/>
        </w:rPr>
        <w:t>–</w:t>
      </w:r>
      <w:r w:rsidRPr="00A05DC2">
        <w:rPr>
          <w:rFonts w:asciiTheme="majorHAnsi" w:hAnsiTheme="majorHAnsi"/>
          <w:sz w:val="24"/>
          <w:szCs w:val="24"/>
        </w:rPr>
        <w:t xml:space="preserve"> на</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514,6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по налогам и сборам отмечено сокращение задолженности</w:t>
      </w:r>
      <w:r w:rsidR="001102AF">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14,4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и прирост по задолженности за топливно-энергетические ресурсы</w:t>
      </w:r>
      <w:r w:rsidR="001102AF">
        <w:rPr>
          <w:rFonts w:asciiTheme="majorHAnsi" w:hAnsiTheme="majorHAnsi"/>
          <w:sz w:val="24"/>
          <w:szCs w:val="24"/>
        </w:rPr>
        <w:t xml:space="preserve"> – </w:t>
      </w:r>
      <w:r w:rsidRPr="00A05DC2">
        <w:rPr>
          <w:rFonts w:asciiTheme="majorHAnsi" w:hAnsiTheme="majorHAnsi"/>
          <w:sz w:val="24"/>
          <w:szCs w:val="24"/>
        </w:rPr>
        <w:t>на</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50,7 млрд.</w:t>
      </w:r>
      <w:r w:rsidRPr="00A05DC2">
        <w:rPr>
          <w:rFonts w:asciiTheme="majorHAnsi" w:hAnsiTheme="majorHAnsi"/>
          <w:i/>
          <w:sz w:val="24"/>
          <w:szCs w:val="24"/>
        </w:rPr>
        <w:t xml:space="preserve"> </w:t>
      </w:r>
      <w:r w:rsidRPr="00A05DC2">
        <w:rPr>
          <w:rFonts w:asciiTheme="majorHAnsi" w:hAnsiTheme="majorHAnsi"/>
          <w:sz w:val="24"/>
          <w:szCs w:val="24"/>
        </w:rPr>
        <w:t>Просроченная кредиторская задолженность на 1 марта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8 336,5 млрд. За февраль</w:t>
      </w:r>
      <w:r w:rsidR="001102AF">
        <w:rPr>
          <w:rFonts w:asciiTheme="majorHAnsi" w:hAnsiTheme="majorHAnsi"/>
          <w:sz w:val="24"/>
          <w:szCs w:val="24"/>
        </w:rPr>
        <w:t xml:space="preserve"> – </w:t>
      </w:r>
      <w:r w:rsidRPr="00A05DC2">
        <w:rPr>
          <w:rFonts w:asciiTheme="majorHAnsi" w:hAnsiTheme="majorHAnsi"/>
          <w:sz w:val="24"/>
          <w:szCs w:val="24"/>
        </w:rPr>
        <w:t>прирост</w:t>
      </w:r>
      <w:r w:rsidR="001102AF">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93,0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в том числе за топливно-энергетические ресурсы</w:t>
      </w:r>
      <w:r w:rsidR="001102AF">
        <w:rPr>
          <w:rFonts w:asciiTheme="majorHAnsi" w:hAnsiTheme="majorHAnsi"/>
          <w:sz w:val="24"/>
          <w:szCs w:val="24"/>
        </w:rPr>
        <w:t xml:space="preserve"> – </w:t>
      </w:r>
      <w:r w:rsidRPr="00A05DC2">
        <w:rPr>
          <w:rFonts w:asciiTheme="majorHAnsi" w:hAnsiTheme="majorHAnsi"/>
          <w:sz w:val="24"/>
          <w:szCs w:val="24"/>
        </w:rPr>
        <w:t>на</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44,0 млрд. Удельный вес просроченной  задолженности на 1 марта </w:t>
      </w:r>
      <w:r w:rsidR="001102AF">
        <w:rPr>
          <w:rFonts w:asciiTheme="majorHAnsi" w:hAnsiTheme="majorHAnsi"/>
          <w:sz w:val="24"/>
          <w:szCs w:val="24"/>
        </w:rPr>
        <w:t xml:space="preserve">– </w:t>
      </w:r>
      <w:r w:rsidRPr="00A05DC2">
        <w:rPr>
          <w:rFonts w:asciiTheme="majorHAnsi" w:hAnsiTheme="majorHAnsi"/>
          <w:sz w:val="24"/>
          <w:szCs w:val="24"/>
        </w:rPr>
        <w:t>20,75% (выше среднего значения по экономике).</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Дебиторская задолженность на 1 марта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6,2 трлн. Прирост за февраль –</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53,4 млрд. Просроченная дебиторская задолженность на 1 марта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1 352,9 млрд. За февраль</w:t>
      </w:r>
      <w:r w:rsidR="001102AF">
        <w:rPr>
          <w:rFonts w:asciiTheme="majorHAnsi" w:hAnsiTheme="majorHAnsi"/>
          <w:sz w:val="24"/>
          <w:szCs w:val="24"/>
        </w:rPr>
        <w:t xml:space="preserve"> – </w:t>
      </w:r>
      <w:r w:rsidRPr="00A05DC2">
        <w:rPr>
          <w:rFonts w:asciiTheme="majorHAnsi" w:hAnsiTheme="majorHAnsi"/>
          <w:sz w:val="24"/>
          <w:szCs w:val="24"/>
        </w:rPr>
        <w:t xml:space="preserve">рост на </w:t>
      </w:r>
      <w:r w:rsidRPr="00A05DC2">
        <w:rPr>
          <w:rFonts w:asciiTheme="majorHAnsi" w:hAnsiTheme="majorHAnsi"/>
          <w:sz w:val="24"/>
          <w:szCs w:val="24"/>
          <w:lang w:val="en-US"/>
        </w:rPr>
        <w:t>BYR</w:t>
      </w:r>
      <w:r w:rsidRPr="00A05DC2">
        <w:rPr>
          <w:rFonts w:asciiTheme="majorHAnsi" w:hAnsiTheme="majorHAnsi"/>
          <w:sz w:val="24"/>
          <w:szCs w:val="24"/>
        </w:rPr>
        <w:t xml:space="preserve"> 86,6 млрд. Удельный вес просроченной дебиторской задолженности – 21,7% (выше среднего значения по экономике). Отрасль является чистым заемщиком – осуществляется авансирование закупок сырья со стороны промышленности, предоставляются льготные нефтепродукты, техника поставляется на условиях значительных отсрочек по платежам.</w:t>
      </w:r>
    </w:p>
    <w:p w:rsidR="00A05DC2" w:rsidRPr="001102AF" w:rsidRDefault="001102AF" w:rsidP="00C11730">
      <w:pPr>
        <w:tabs>
          <w:tab w:val="left" w:pos="10773"/>
        </w:tabs>
        <w:ind w:right="281"/>
        <w:jc w:val="both"/>
        <w:rPr>
          <w:rFonts w:asciiTheme="majorHAnsi" w:hAnsiTheme="majorHAnsi"/>
          <w:b/>
          <w:sz w:val="24"/>
          <w:szCs w:val="24"/>
        </w:rPr>
      </w:pPr>
      <w:r>
        <w:rPr>
          <w:rFonts w:asciiTheme="majorHAnsi" w:hAnsiTheme="majorHAnsi"/>
          <w:b/>
          <w:sz w:val="24"/>
          <w:szCs w:val="24"/>
        </w:rPr>
        <w:t>Текущая ситуация</w:t>
      </w:r>
    </w:p>
    <w:p w:rsid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Сохраняется падение производства сельскохозяйственной продукции по всем областям Беларуси за исключением Могилевской области. Существенные суммы оказываемой господдержки не привели к улучшению финансовых результатов. В </w:t>
      </w:r>
      <w:proofErr w:type="gramStart"/>
      <w:r w:rsidRPr="00A05DC2">
        <w:rPr>
          <w:rFonts w:asciiTheme="majorHAnsi" w:hAnsiTheme="majorHAnsi"/>
          <w:sz w:val="24"/>
          <w:szCs w:val="24"/>
        </w:rPr>
        <w:t>пределах</w:t>
      </w:r>
      <w:proofErr w:type="gramEnd"/>
      <w:r w:rsidRPr="00A05DC2">
        <w:rPr>
          <w:rFonts w:asciiTheme="majorHAnsi" w:hAnsiTheme="majorHAnsi"/>
          <w:sz w:val="24"/>
          <w:szCs w:val="24"/>
        </w:rPr>
        <w:t xml:space="preserve"> 10-15% были увеличены закупочные цены на урожай 2014 года по сахарной свекле и ржи фуражной. Для авансирования закупок урожая 2014 года выделено </w:t>
      </w:r>
      <w:r w:rsidRPr="00A05DC2">
        <w:rPr>
          <w:rFonts w:asciiTheme="majorHAnsi" w:hAnsiTheme="majorHAnsi"/>
          <w:sz w:val="24"/>
          <w:szCs w:val="24"/>
          <w:lang w:val="en-US"/>
        </w:rPr>
        <w:t>BYR</w:t>
      </w:r>
      <w:r w:rsidRPr="00A05DC2">
        <w:rPr>
          <w:rFonts w:asciiTheme="majorHAnsi" w:hAnsiTheme="majorHAnsi"/>
          <w:sz w:val="24"/>
          <w:szCs w:val="24"/>
        </w:rPr>
        <w:t xml:space="preserve"> 4,6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xml:space="preserve"> льготных кредитов</w:t>
      </w:r>
      <w:r w:rsidR="001102AF">
        <w:rPr>
          <w:rFonts w:asciiTheme="majorHAnsi" w:hAnsiTheme="majorHAnsi"/>
          <w:sz w:val="24"/>
          <w:szCs w:val="24"/>
        </w:rPr>
        <w:t xml:space="preserve"> – </w:t>
      </w:r>
      <w:r w:rsidRPr="00A05DC2">
        <w:rPr>
          <w:rFonts w:asciiTheme="majorHAnsi" w:hAnsiTheme="majorHAnsi"/>
          <w:sz w:val="24"/>
          <w:szCs w:val="24"/>
        </w:rPr>
        <w:t xml:space="preserve">по ставкам в национальной валюте в размере половины ставки рефинансирования увеличенной не более чем на 3 процентных пункта. Ожидается принятие новых мер по выводу отрасли из текущего финансового состояния. </w:t>
      </w:r>
    </w:p>
    <w:p w:rsidR="001102AF" w:rsidRPr="00A05DC2" w:rsidRDefault="001102AF" w:rsidP="00C11730">
      <w:pPr>
        <w:tabs>
          <w:tab w:val="left" w:pos="10773"/>
        </w:tabs>
        <w:ind w:right="281"/>
        <w:jc w:val="both"/>
        <w:rPr>
          <w:rFonts w:asciiTheme="majorHAnsi" w:hAnsiTheme="majorHAnsi"/>
          <w:sz w:val="24"/>
          <w:szCs w:val="24"/>
        </w:rPr>
      </w:pPr>
    </w:p>
    <w:p w:rsidR="00A05DC2" w:rsidRPr="001102AF" w:rsidRDefault="00A05DC2" w:rsidP="00C11730">
      <w:pPr>
        <w:tabs>
          <w:tab w:val="left" w:pos="10773"/>
        </w:tabs>
        <w:ind w:right="281"/>
        <w:jc w:val="both"/>
        <w:rPr>
          <w:rFonts w:asciiTheme="majorHAnsi" w:hAnsiTheme="majorHAnsi"/>
          <w:b/>
          <w:sz w:val="24"/>
          <w:szCs w:val="24"/>
        </w:rPr>
      </w:pPr>
      <w:r w:rsidRPr="001102AF">
        <w:rPr>
          <w:rFonts w:asciiTheme="majorHAnsi" w:hAnsiTheme="majorHAnsi"/>
          <w:b/>
          <w:sz w:val="24"/>
          <w:szCs w:val="24"/>
          <w:lang w:val="en-US"/>
        </w:rPr>
        <w:t>III</w:t>
      </w:r>
      <w:r w:rsidR="00D92FC2">
        <w:rPr>
          <w:rFonts w:asciiTheme="majorHAnsi" w:hAnsiTheme="majorHAnsi"/>
          <w:b/>
          <w:sz w:val="24"/>
          <w:szCs w:val="24"/>
        </w:rPr>
        <w:t>. Строительство</w:t>
      </w:r>
    </w:p>
    <w:p w:rsidR="00A05DC2" w:rsidRPr="001102AF" w:rsidRDefault="00A05DC2" w:rsidP="00C11730">
      <w:pPr>
        <w:tabs>
          <w:tab w:val="left" w:pos="10773"/>
        </w:tabs>
        <w:ind w:right="281"/>
        <w:jc w:val="both"/>
        <w:rPr>
          <w:rFonts w:asciiTheme="majorHAnsi" w:hAnsiTheme="majorHAnsi"/>
          <w:b/>
          <w:sz w:val="24"/>
          <w:szCs w:val="24"/>
        </w:rPr>
      </w:pPr>
      <w:r w:rsidRPr="001102AF">
        <w:rPr>
          <w:rFonts w:asciiTheme="majorHAnsi" w:hAnsiTheme="majorHAnsi"/>
          <w:b/>
          <w:sz w:val="24"/>
          <w:szCs w:val="24"/>
        </w:rPr>
        <w:t>Производственные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Объем строительно-монтажных работ за январь-март 2014 года </w:t>
      </w:r>
      <w:r w:rsidRPr="00A05DC2">
        <w:rPr>
          <w:rFonts w:asciiTheme="majorHAnsi" w:hAnsiTheme="majorHAnsi"/>
          <w:sz w:val="24"/>
          <w:szCs w:val="24"/>
          <w:lang w:val="en-US"/>
        </w:rPr>
        <w:t>BYR</w:t>
      </w:r>
      <w:r w:rsidRPr="00A05DC2">
        <w:rPr>
          <w:rFonts w:asciiTheme="majorHAnsi" w:hAnsiTheme="majorHAnsi"/>
          <w:sz w:val="24"/>
          <w:szCs w:val="24"/>
        </w:rPr>
        <w:t xml:space="preserve"> 22,0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в том числе в марте</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11,3 трлн. Индекс строительно-монтажных работ</w:t>
      </w:r>
      <w:r w:rsidR="001102AF">
        <w:rPr>
          <w:rFonts w:asciiTheme="majorHAnsi" w:hAnsiTheme="majorHAnsi"/>
          <w:sz w:val="24"/>
          <w:szCs w:val="24"/>
        </w:rPr>
        <w:t xml:space="preserve"> – </w:t>
      </w:r>
      <w:r w:rsidRPr="00A05DC2">
        <w:rPr>
          <w:rFonts w:asciiTheme="majorHAnsi" w:hAnsiTheme="majorHAnsi"/>
          <w:sz w:val="24"/>
          <w:szCs w:val="24"/>
        </w:rPr>
        <w:t>100,4% к январю-марту 2013 года, в том числе март</w:t>
      </w:r>
      <w:r w:rsidR="001102AF">
        <w:rPr>
          <w:rFonts w:asciiTheme="majorHAnsi" w:hAnsiTheme="majorHAnsi"/>
          <w:sz w:val="24"/>
          <w:szCs w:val="24"/>
        </w:rPr>
        <w:t xml:space="preserve"> – </w:t>
      </w:r>
      <w:r w:rsidRPr="00A05DC2">
        <w:rPr>
          <w:rFonts w:asciiTheme="majorHAnsi" w:hAnsiTheme="majorHAnsi"/>
          <w:sz w:val="24"/>
          <w:szCs w:val="24"/>
        </w:rPr>
        <w:t xml:space="preserve">115,0%.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Затраты на приобретение машин и оборудования за январь-март 2014 года составили </w:t>
      </w:r>
      <w:r w:rsidRPr="00A05DC2">
        <w:rPr>
          <w:rFonts w:asciiTheme="majorHAnsi" w:hAnsiTheme="majorHAnsi"/>
          <w:sz w:val="24"/>
          <w:szCs w:val="24"/>
          <w:lang w:val="en-US"/>
        </w:rPr>
        <w:t>BYR</w:t>
      </w:r>
      <w:r w:rsidRPr="00A05DC2">
        <w:rPr>
          <w:rFonts w:asciiTheme="majorHAnsi" w:hAnsiTheme="majorHAnsi"/>
          <w:sz w:val="24"/>
          <w:szCs w:val="24"/>
        </w:rPr>
        <w:t xml:space="preserve"> 14,9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в том числе март</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7,6 трлн. Индекс затрат на приобретение машин и оборудования составил 94,5% к январю-марту 2013 года, в том числе в марте</w:t>
      </w:r>
      <w:r w:rsidR="001102AF">
        <w:rPr>
          <w:rFonts w:asciiTheme="majorHAnsi" w:hAnsiTheme="majorHAnsi"/>
          <w:sz w:val="24"/>
          <w:szCs w:val="24"/>
        </w:rPr>
        <w:t xml:space="preserve"> –</w:t>
      </w:r>
      <w:r w:rsidRPr="00A05DC2">
        <w:rPr>
          <w:rFonts w:asciiTheme="majorHAnsi" w:hAnsiTheme="majorHAnsi"/>
          <w:sz w:val="24"/>
          <w:szCs w:val="24"/>
        </w:rPr>
        <w:t xml:space="preserve"> 139,1%</w:t>
      </w:r>
      <w:r w:rsidR="001102AF">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lastRenderedPageBreak/>
        <w:t xml:space="preserve">Прочие работы и затраты за январь-март выполнены в объеме </w:t>
      </w:r>
      <w:r w:rsidRPr="00A05DC2">
        <w:rPr>
          <w:rFonts w:asciiTheme="majorHAnsi" w:hAnsiTheme="majorHAnsi"/>
          <w:sz w:val="24"/>
          <w:szCs w:val="24"/>
          <w:lang w:val="en-US"/>
        </w:rPr>
        <w:t>BYR</w:t>
      </w:r>
      <w:r w:rsidRPr="00A05DC2">
        <w:rPr>
          <w:rFonts w:asciiTheme="majorHAnsi" w:hAnsiTheme="majorHAnsi"/>
          <w:sz w:val="24"/>
          <w:szCs w:val="24"/>
        </w:rPr>
        <w:t xml:space="preserve"> 4,6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в том числе в марте –</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2,4 трлн. Индекс прочих работ и затрат составил 110,3% в том числе в марте-129,3%</w:t>
      </w:r>
      <w:r w:rsidR="001102AF">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Прирост показателей инвестиций в основной капитал в марте связан с окончанием работ </w:t>
      </w:r>
      <w:r w:rsidR="001102AF">
        <w:rPr>
          <w:rFonts w:asciiTheme="majorHAnsi" w:hAnsiTheme="majorHAnsi"/>
          <w:sz w:val="24"/>
          <w:szCs w:val="24"/>
        </w:rPr>
        <w:t xml:space="preserve">на Березовской ГРЭС. </w:t>
      </w:r>
    </w:p>
    <w:p w:rsidR="00A05DC2" w:rsidRPr="001102AF" w:rsidRDefault="001102AF" w:rsidP="00C11730">
      <w:pPr>
        <w:tabs>
          <w:tab w:val="left" w:pos="10773"/>
        </w:tabs>
        <w:ind w:right="281"/>
        <w:jc w:val="both"/>
        <w:rPr>
          <w:rFonts w:asciiTheme="majorHAnsi" w:hAnsiTheme="majorHAnsi"/>
          <w:b/>
          <w:sz w:val="24"/>
          <w:szCs w:val="24"/>
        </w:rPr>
      </w:pPr>
      <w:r w:rsidRPr="001102AF">
        <w:rPr>
          <w:rFonts w:asciiTheme="majorHAnsi" w:hAnsiTheme="majorHAnsi"/>
          <w:b/>
          <w:sz w:val="24"/>
          <w:szCs w:val="24"/>
        </w:rPr>
        <w:t>Финансовые показатели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Чистая прибыль в январе-феврале 2014 года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286,6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в том числе в феврале</w:t>
      </w:r>
      <w:r w:rsidR="001102AF">
        <w:rPr>
          <w:rFonts w:asciiTheme="majorHAnsi" w:hAnsiTheme="majorHAnsi"/>
          <w:sz w:val="24"/>
          <w:szCs w:val="24"/>
        </w:rPr>
        <w:t xml:space="preserve"> –</w:t>
      </w:r>
      <w:r w:rsidRPr="00A05DC2">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148,6 млрд. Рост относительно января-февраля 2013 года на 15,1%</w:t>
      </w:r>
      <w:r w:rsidR="001102AF">
        <w:rPr>
          <w:rFonts w:asciiTheme="majorHAnsi" w:hAnsiTheme="majorHAnsi"/>
          <w:sz w:val="24"/>
          <w:szCs w:val="24"/>
        </w:rPr>
        <w:t xml:space="preserve"> </w:t>
      </w:r>
      <w:r w:rsidRPr="00A05DC2">
        <w:rPr>
          <w:rFonts w:asciiTheme="majorHAnsi" w:hAnsiTheme="majorHAnsi"/>
          <w:sz w:val="24"/>
          <w:szCs w:val="24"/>
        </w:rPr>
        <w:t>-</w:t>
      </w:r>
      <w:r w:rsidR="001102AF">
        <w:rPr>
          <w:rFonts w:asciiTheme="majorHAnsi" w:hAnsiTheme="majorHAnsi"/>
          <w:sz w:val="24"/>
          <w:szCs w:val="24"/>
        </w:rPr>
        <w:t xml:space="preserve"> </w:t>
      </w:r>
      <w:r w:rsidRPr="00A05DC2">
        <w:rPr>
          <w:rFonts w:asciiTheme="majorHAnsi" w:hAnsiTheme="majorHAnsi"/>
          <w:sz w:val="24"/>
          <w:szCs w:val="24"/>
        </w:rPr>
        <w:t>с</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249,1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286,6 млрд. Численность убыточных предприятий по сравнению с январем-февралем 2013 года выросла с 211 до 247 единиц, чистые убытки убыточных предприятий выросли с </w:t>
      </w:r>
      <w:r w:rsidRPr="00A05DC2">
        <w:rPr>
          <w:rFonts w:asciiTheme="majorHAnsi" w:hAnsiTheme="majorHAnsi"/>
          <w:sz w:val="24"/>
          <w:szCs w:val="24"/>
          <w:lang w:val="en-US"/>
        </w:rPr>
        <w:t>BYR</w:t>
      </w:r>
      <w:r w:rsidRPr="00A05DC2">
        <w:rPr>
          <w:rFonts w:asciiTheme="majorHAnsi" w:hAnsiTheme="majorHAnsi"/>
          <w:sz w:val="24"/>
          <w:szCs w:val="24"/>
        </w:rPr>
        <w:t xml:space="preserve"> 142,6 </w:t>
      </w:r>
      <w:proofErr w:type="spellStart"/>
      <w:r w:rsidRPr="00A05DC2">
        <w:rPr>
          <w:rFonts w:asciiTheme="majorHAnsi" w:hAnsiTheme="majorHAnsi"/>
          <w:sz w:val="24"/>
          <w:szCs w:val="24"/>
        </w:rPr>
        <w:t>млрд</w:t>
      </w:r>
      <w:proofErr w:type="spell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207,2 млрд. Удельный вес убыточных предприятий в отрасли на 1 марта 2014 года составил 19,3%.</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Кредиторская задолженность на 1 марта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19 047,2 млрд. Прирост за февраль </w:t>
      </w:r>
      <w:r w:rsidR="001102AF">
        <w:rPr>
          <w:rFonts w:asciiTheme="majorHAnsi" w:hAnsiTheme="majorHAnsi"/>
          <w:sz w:val="24"/>
          <w:szCs w:val="24"/>
        </w:rPr>
        <w:t>–</w:t>
      </w:r>
      <w:r w:rsidRPr="00A05DC2">
        <w:rPr>
          <w:rFonts w:asciiTheme="majorHAnsi" w:hAnsiTheme="majorHAnsi"/>
          <w:sz w:val="24"/>
          <w:szCs w:val="24"/>
        </w:rPr>
        <w:t xml:space="preserve"> на</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594,9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в том числе по налогам и сборам</w:t>
      </w:r>
      <w:r w:rsidR="001102AF">
        <w:rPr>
          <w:rFonts w:asciiTheme="majorHAnsi" w:hAnsiTheme="majorHAnsi"/>
          <w:sz w:val="24"/>
          <w:szCs w:val="24"/>
        </w:rPr>
        <w:t xml:space="preserve"> – </w:t>
      </w:r>
      <w:r w:rsidRPr="00A05DC2">
        <w:rPr>
          <w:rFonts w:asciiTheme="majorHAnsi" w:hAnsiTheme="majorHAnsi"/>
          <w:sz w:val="24"/>
          <w:szCs w:val="24"/>
        </w:rPr>
        <w:t>на</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188,6 млрд. Просроченная кредиторская задолженность на 1 марта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2 901,1 млрд. За февраль</w:t>
      </w:r>
      <w:r w:rsidR="001102AF">
        <w:rPr>
          <w:rFonts w:asciiTheme="majorHAnsi" w:hAnsiTheme="majorHAnsi"/>
          <w:sz w:val="24"/>
          <w:szCs w:val="24"/>
        </w:rPr>
        <w:t xml:space="preserve"> – </w:t>
      </w:r>
      <w:r w:rsidRPr="00A05DC2">
        <w:rPr>
          <w:rFonts w:asciiTheme="majorHAnsi" w:hAnsiTheme="majorHAnsi"/>
          <w:sz w:val="24"/>
          <w:szCs w:val="24"/>
        </w:rPr>
        <w:t xml:space="preserve">прирост на </w:t>
      </w:r>
      <w:r w:rsidRPr="00A05DC2">
        <w:rPr>
          <w:rFonts w:asciiTheme="majorHAnsi" w:hAnsiTheme="majorHAnsi"/>
          <w:sz w:val="24"/>
          <w:szCs w:val="24"/>
          <w:lang w:val="en-US"/>
        </w:rPr>
        <w:t>BYR</w:t>
      </w:r>
      <w:r w:rsidRPr="00A05DC2">
        <w:rPr>
          <w:rFonts w:asciiTheme="majorHAnsi" w:hAnsiTheme="majorHAnsi"/>
          <w:sz w:val="24"/>
          <w:szCs w:val="24"/>
        </w:rPr>
        <w:t xml:space="preserve"> 111,2 млрд. Удельный вес просроченной кредиторской задолженности – 15,23%.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Дебиторская задолженность на 1 марта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15 184,3 млрд. Прирост за февраль –</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542,6 млрд. Просроченная дебиторская задолженность на 1 марта</w:t>
      </w:r>
      <w:r w:rsidR="001102AF">
        <w:rPr>
          <w:rFonts w:asciiTheme="majorHAnsi" w:hAnsiTheme="majorHAnsi"/>
          <w:sz w:val="24"/>
          <w:szCs w:val="24"/>
        </w:rPr>
        <w:t xml:space="preserve"> – </w:t>
      </w:r>
      <w:r w:rsidRPr="00A05DC2">
        <w:rPr>
          <w:rFonts w:asciiTheme="majorHAnsi" w:hAnsiTheme="majorHAnsi"/>
          <w:sz w:val="24"/>
          <w:szCs w:val="24"/>
          <w:lang w:val="en-US"/>
        </w:rPr>
        <w:t>BYR</w:t>
      </w:r>
      <w:r w:rsidRPr="00A05DC2">
        <w:rPr>
          <w:rFonts w:asciiTheme="majorHAnsi" w:hAnsiTheme="majorHAnsi"/>
          <w:sz w:val="24"/>
          <w:szCs w:val="24"/>
        </w:rPr>
        <w:t xml:space="preserve"> 3 935,3 млрд. За февраль</w:t>
      </w:r>
      <w:r w:rsidR="001102AF">
        <w:rPr>
          <w:rFonts w:asciiTheme="majorHAnsi" w:hAnsiTheme="majorHAnsi"/>
          <w:sz w:val="24"/>
          <w:szCs w:val="24"/>
        </w:rPr>
        <w:t xml:space="preserve"> </w:t>
      </w:r>
      <w:proofErr w:type="gramStart"/>
      <w:r w:rsidR="001102AF">
        <w:rPr>
          <w:rFonts w:asciiTheme="majorHAnsi" w:hAnsiTheme="majorHAnsi"/>
          <w:sz w:val="24"/>
          <w:szCs w:val="24"/>
        </w:rPr>
        <w:t>–</w:t>
      </w:r>
      <w:r w:rsidRPr="00A05DC2">
        <w:rPr>
          <w:rFonts w:asciiTheme="majorHAnsi" w:hAnsiTheme="majorHAnsi"/>
          <w:sz w:val="24"/>
          <w:szCs w:val="24"/>
        </w:rPr>
        <w:t>п</w:t>
      </w:r>
      <w:proofErr w:type="gramEnd"/>
      <w:r w:rsidRPr="00A05DC2">
        <w:rPr>
          <w:rFonts w:asciiTheme="majorHAnsi" w:hAnsiTheme="majorHAnsi"/>
          <w:sz w:val="24"/>
          <w:szCs w:val="24"/>
        </w:rPr>
        <w:t>рирост</w:t>
      </w:r>
      <w:r w:rsidR="001102AF">
        <w:rPr>
          <w:rFonts w:asciiTheme="majorHAnsi" w:hAnsiTheme="majorHAnsi"/>
          <w:sz w:val="24"/>
          <w:szCs w:val="24"/>
        </w:rPr>
        <w:t xml:space="preserve"> </w:t>
      </w:r>
      <w:r w:rsidRPr="00A05DC2">
        <w:rPr>
          <w:rFonts w:asciiTheme="majorHAnsi" w:hAnsiTheme="majorHAnsi"/>
          <w:sz w:val="24"/>
          <w:szCs w:val="24"/>
        </w:rPr>
        <w:t xml:space="preserve">на </w:t>
      </w:r>
      <w:r w:rsidRPr="00A05DC2">
        <w:rPr>
          <w:rFonts w:asciiTheme="majorHAnsi" w:hAnsiTheme="majorHAnsi"/>
          <w:sz w:val="24"/>
          <w:szCs w:val="24"/>
          <w:lang w:val="en-US"/>
        </w:rPr>
        <w:t>BYR</w:t>
      </w:r>
      <w:r w:rsidRPr="00A05DC2">
        <w:rPr>
          <w:rFonts w:asciiTheme="majorHAnsi" w:hAnsiTheme="majorHAnsi"/>
          <w:sz w:val="24"/>
          <w:szCs w:val="24"/>
        </w:rPr>
        <w:t xml:space="preserve"> 219,6 млрд. Удельный вес просроченной дебиторской задолженности – 25,92%, что является самым высоким среди видов экономической деятельности. В отрасли сохраняются существенные проблемы в части своевременности расчетов за выполненные работы. Полученная чистая прибыль является в значительной степени бухгалтерской. 83,4% строительных организаций имеют просроченную дебиторскую задолженность, 74,1%-просроченную кредиторскую задолженность, что выше средних значений по экономике (71,1%</w:t>
      </w:r>
      <w:r w:rsidR="001102AF">
        <w:rPr>
          <w:rFonts w:asciiTheme="majorHAnsi" w:hAnsiTheme="majorHAnsi"/>
          <w:sz w:val="24"/>
          <w:szCs w:val="24"/>
        </w:rPr>
        <w:t xml:space="preserve"> – </w:t>
      </w:r>
      <w:r w:rsidRPr="00A05DC2">
        <w:rPr>
          <w:rFonts w:asciiTheme="majorHAnsi" w:hAnsiTheme="majorHAnsi"/>
          <w:sz w:val="24"/>
          <w:szCs w:val="24"/>
        </w:rPr>
        <w:t>по</w:t>
      </w:r>
      <w:r w:rsidR="001102AF">
        <w:rPr>
          <w:rFonts w:asciiTheme="majorHAnsi" w:hAnsiTheme="majorHAnsi"/>
          <w:sz w:val="24"/>
          <w:szCs w:val="24"/>
        </w:rPr>
        <w:t xml:space="preserve"> </w:t>
      </w:r>
      <w:r w:rsidRPr="00A05DC2">
        <w:rPr>
          <w:rFonts w:asciiTheme="majorHAnsi" w:hAnsiTheme="majorHAnsi"/>
          <w:sz w:val="24"/>
          <w:szCs w:val="24"/>
        </w:rPr>
        <w:t>просроченной дебиторской задолженности, 62,8%</w:t>
      </w:r>
      <w:r w:rsidR="001102AF">
        <w:rPr>
          <w:rFonts w:asciiTheme="majorHAnsi" w:hAnsiTheme="majorHAnsi"/>
          <w:sz w:val="24"/>
          <w:szCs w:val="24"/>
        </w:rPr>
        <w:t xml:space="preserve"> </w:t>
      </w:r>
      <w:r w:rsidRPr="00A05DC2">
        <w:rPr>
          <w:rFonts w:asciiTheme="majorHAnsi" w:hAnsiTheme="majorHAnsi"/>
          <w:sz w:val="24"/>
          <w:szCs w:val="24"/>
        </w:rPr>
        <w:t>-</w:t>
      </w:r>
      <w:r w:rsidR="001102AF">
        <w:rPr>
          <w:rFonts w:asciiTheme="majorHAnsi" w:hAnsiTheme="majorHAnsi"/>
          <w:sz w:val="24"/>
          <w:szCs w:val="24"/>
        </w:rPr>
        <w:t xml:space="preserve"> </w:t>
      </w:r>
      <w:r w:rsidRPr="00A05DC2">
        <w:rPr>
          <w:rFonts w:asciiTheme="majorHAnsi" w:hAnsiTheme="majorHAnsi"/>
          <w:sz w:val="24"/>
          <w:szCs w:val="24"/>
        </w:rPr>
        <w:t>по</w:t>
      </w:r>
      <w:r w:rsidR="001102AF">
        <w:rPr>
          <w:rFonts w:asciiTheme="majorHAnsi" w:hAnsiTheme="majorHAnsi"/>
          <w:sz w:val="24"/>
          <w:szCs w:val="24"/>
        </w:rPr>
        <w:t xml:space="preserve"> </w:t>
      </w:r>
      <w:r w:rsidRPr="00A05DC2">
        <w:rPr>
          <w:rFonts w:asciiTheme="majorHAnsi" w:hAnsiTheme="majorHAnsi"/>
          <w:sz w:val="24"/>
          <w:szCs w:val="24"/>
        </w:rPr>
        <w:t>просроченной кредиторской задолженности)</w:t>
      </w:r>
      <w:r w:rsidR="001102AF">
        <w:rPr>
          <w:rFonts w:asciiTheme="majorHAnsi" w:hAnsiTheme="majorHAnsi"/>
          <w:sz w:val="24"/>
          <w:szCs w:val="24"/>
        </w:rPr>
        <w:t>.</w:t>
      </w:r>
    </w:p>
    <w:p w:rsidR="00A05DC2" w:rsidRPr="001102AF" w:rsidRDefault="00A05DC2" w:rsidP="00C11730">
      <w:pPr>
        <w:tabs>
          <w:tab w:val="left" w:pos="10773"/>
        </w:tabs>
        <w:ind w:right="281"/>
        <w:jc w:val="both"/>
        <w:rPr>
          <w:rFonts w:asciiTheme="majorHAnsi" w:hAnsiTheme="majorHAnsi"/>
          <w:b/>
          <w:sz w:val="24"/>
          <w:szCs w:val="24"/>
        </w:rPr>
      </w:pPr>
      <w:r w:rsidRPr="001102AF">
        <w:rPr>
          <w:rFonts w:asciiTheme="majorHAnsi" w:hAnsiTheme="majorHAnsi"/>
          <w:b/>
          <w:sz w:val="24"/>
          <w:szCs w:val="24"/>
        </w:rPr>
        <w:t>Текущая ситу</w:t>
      </w:r>
      <w:r w:rsidR="001102AF">
        <w:rPr>
          <w:rFonts w:asciiTheme="majorHAnsi" w:hAnsiTheme="majorHAnsi"/>
          <w:b/>
          <w:sz w:val="24"/>
          <w:szCs w:val="24"/>
        </w:rPr>
        <w:t>ация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По итогам </w:t>
      </w:r>
      <w:r w:rsidR="001102AF">
        <w:rPr>
          <w:rFonts w:asciiTheme="majorHAnsi" w:hAnsiTheme="majorHAnsi"/>
          <w:sz w:val="24"/>
          <w:szCs w:val="24"/>
          <w:lang w:val="en-US"/>
        </w:rPr>
        <w:t>I</w:t>
      </w:r>
      <w:r w:rsidRPr="00A05DC2">
        <w:rPr>
          <w:rFonts w:asciiTheme="majorHAnsi" w:hAnsiTheme="majorHAnsi"/>
          <w:sz w:val="24"/>
          <w:szCs w:val="24"/>
        </w:rPr>
        <w:t xml:space="preserve"> квартала было введено в эксплуатацию 1 248,9 тыс. квадратных метров жилья, что на 1% ниже, чем в аналогичном периоде 2013 года. По объему построенного жилья лидирует Минск</w:t>
      </w:r>
      <w:r w:rsidR="001102AF">
        <w:rPr>
          <w:rFonts w:asciiTheme="majorHAnsi" w:hAnsiTheme="majorHAnsi"/>
          <w:sz w:val="24"/>
          <w:szCs w:val="24"/>
        </w:rPr>
        <w:t xml:space="preserve"> – </w:t>
      </w:r>
      <w:r w:rsidRPr="00A05DC2">
        <w:rPr>
          <w:rFonts w:asciiTheme="majorHAnsi" w:hAnsiTheme="majorHAnsi"/>
          <w:sz w:val="24"/>
          <w:szCs w:val="24"/>
        </w:rPr>
        <w:t>при</w:t>
      </w:r>
      <w:r w:rsidR="001102AF">
        <w:rPr>
          <w:rFonts w:asciiTheme="majorHAnsi" w:hAnsiTheme="majorHAnsi"/>
          <w:sz w:val="24"/>
          <w:szCs w:val="24"/>
        </w:rPr>
        <w:t xml:space="preserve"> </w:t>
      </w:r>
      <w:r w:rsidRPr="00A05DC2">
        <w:rPr>
          <w:rFonts w:asciiTheme="majorHAnsi" w:hAnsiTheme="majorHAnsi"/>
          <w:sz w:val="24"/>
          <w:szCs w:val="24"/>
        </w:rPr>
        <w:t xml:space="preserve">задании на 2014 год в размере 1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квадратных метров, в первом квартале введено 339,8 тыс. Высокие темпы ввода жилья в Минске обеспечены благодаря завершению строительства объектов со сверхнормативным сроком строительства. В </w:t>
      </w:r>
      <w:proofErr w:type="gramStart"/>
      <w:r w:rsidRPr="00A05DC2">
        <w:rPr>
          <w:rFonts w:asciiTheme="majorHAnsi" w:hAnsiTheme="majorHAnsi"/>
          <w:sz w:val="24"/>
          <w:szCs w:val="24"/>
        </w:rPr>
        <w:t>отношении</w:t>
      </w:r>
      <w:proofErr w:type="gramEnd"/>
      <w:r w:rsidRPr="00A05DC2">
        <w:rPr>
          <w:rFonts w:asciiTheme="majorHAnsi" w:hAnsiTheme="majorHAnsi"/>
          <w:sz w:val="24"/>
          <w:szCs w:val="24"/>
        </w:rPr>
        <w:t xml:space="preserve"> одного из наиболее известных долгостроев Минска был принят отдельный указ президента, предполагающий окончание строительства до 31 декабря 2014 года.  Сохраняется проблема незначительного </w:t>
      </w:r>
      <w:r w:rsidR="001102AF">
        <w:rPr>
          <w:rFonts w:asciiTheme="majorHAnsi" w:hAnsiTheme="majorHAnsi"/>
          <w:sz w:val="24"/>
          <w:szCs w:val="24"/>
        </w:rPr>
        <w:t>числа</w:t>
      </w:r>
      <w:r w:rsidRPr="00A05DC2">
        <w:rPr>
          <w:rFonts w:asciiTheme="majorHAnsi" w:hAnsiTheme="majorHAnsi"/>
          <w:sz w:val="24"/>
          <w:szCs w:val="24"/>
        </w:rPr>
        <w:t xml:space="preserve"> участков, выделенных для коммерческого строительства. Определенной проблемой для застройщиков является необходимость строительства подземных парковок. Стоимость </w:t>
      </w:r>
      <w:proofErr w:type="spellStart"/>
      <w:r w:rsidRPr="00A05DC2">
        <w:rPr>
          <w:rFonts w:asciiTheme="majorHAnsi" w:hAnsiTheme="majorHAnsi"/>
          <w:sz w:val="24"/>
          <w:szCs w:val="24"/>
        </w:rPr>
        <w:t>машиномест</w:t>
      </w:r>
      <w:proofErr w:type="spellEnd"/>
      <w:r w:rsidRPr="00A05DC2">
        <w:rPr>
          <w:rFonts w:asciiTheme="majorHAnsi" w:hAnsiTheme="majorHAnsi"/>
          <w:sz w:val="24"/>
          <w:szCs w:val="24"/>
        </w:rPr>
        <w:t xml:space="preserve"> с учетом затрат оказывается высокой, места не раскупаются, что приводит к замораживанию части средств застройщиков. Льготное кредитование выделяется только на строительство панельного жилья. Объемы льготного кредитования были уточнены в сторону уменьшения на </w:t>
      </w:r>
      <w:r w:rsidRPr="00A05DC2">
        <w:rPr>
          <w:rFonts w:asciiTheme="majorHAnsi" w:hAnsiTheme="majorHAnsi"/>
          <w:sz w:val="24"/>
          <w:szCs w:val="24"/>
          <w:lang w:val="en-US"/>
        </w:rPr>
        <w:t>BYR</w:t>
      </w:r>
      <w:r w:rsidRPr="00A05DC2">
        <w:rPr>
          <w:rFonts w:asciiTheme="majorHAnsi" w:hAnsiTheme="majorHAnsi"/>
          <w:sz w:val="24"/>
          <w:szCs w:val="24"/>
        </w:rPr>
        <w:t xml:space="preserve"> 500 млрд. Снижение объема кредитования предполагается в отношении строительства жилья в сельской местности. В </w:t>
      </w:r>
      <w:proofErr w:type="gramStart"/>
      <w:r w:rsidRPr="00A05DC2">
        <w:rPr>
          <w:rFonts w:asciiTheme="majorHAnsi" w:hAnsiTheme="majorHAnsi"/>
          <w:sz w:val="24"/>
          <w:szCs w:val="24"/>
        </w:rPr>
        <w:t>Минске</w:t>
      </w:r>
      <w:proofErr w:type="gramEnd"/>
      <w:r w:rsidRPr="00A05DC2">
        <w:rPr>
          <w:rFonts w:asciiTheme="majorHAnsi" w:hAnsiTheme="majorHAnsi"/>
          <w:sz w:val="24"/>
          <w:szCs w:val="24"/>
        </w:rPr>
        <w:t xml:space="preserve"> действует запрет в отношении частных застройщиков на возведение ими панельного жилья. В </w:t>
      </w:r>
      <w:proofErr w:type="gramStart"/>
      <w:r w:rsidRPr="00A05DC2">
        <w:rPr>
          <w:rFonts w:asciiTheme="majorHAnsi" w:hAnsiTheme="majorHAnsi"/>
          <w:sz w:val="24"/>
          <w:szCs w:val="24"/>
        </w:rPr>
        <w:t>условиях</w:t>
      </w:r>
      <w:proofErr w:type="gramEnd"/>
      <w:r w:rsidRPr="00A05DC2">
        <w:rPr>
          <w:rFonts w:asciiTheme="majorHAnsi" w:hAnsiTheme="majorHAnsi"/>
          <w:sz w:val="24"/>
          <w:szCs w:val="24"/>
        </w:rPr>
        <w:t xml:space="preserve"> предполагаемого снижения объема жилищного строительства, в столице </w:t>
      </w:r>
      <w:r w:rsidRPr="00A05DC2">
        <w:rPr>
          <w:rFonts w:asciiTheme="majorHAnsi" w:hAnsiTheme="majorHAnsi"/>
          <w:sz w:val="24"/>
          <w:szCs w:val="24"/>
        </w:rPr>
        <w:lastRenderedPageBreak/>
        <w:t>начиная с 2015 года, частные застройщики переориентируют свои усили</w:t>
      </w:r>
      <w:r w:rsidR="001102AF">
        <w:rPr>
          <w:rFonts w:asciiTheme="majorHAnsi" w:hAnsiTheme="majorHAnsi"/>
          <w:sz w:val="24"/>
          <w:szCs w:val="24"/>
        </w:rPr>
        <w:t>я</w:t>
      </w:r>
      <w:r w:rsidRPr="00A05DC2">
        <w:rPr>
          <w:rFonts w:asciiTheme="majorHAnsi" w:hAnsiTheme="majorHAnsi"/>
          <w:sz w:val="24"/>
          <w:szCs w:val="24"/>
        </w:rPr>
        <w:t xml:space="preserve"> на строительств</w:t>
      </w:r>
      <w:r w:rsidR="001102AF">
        <w:rPr>
          <w:rFonts w:asciiTheme="majorHAnsi" w:hAnsiTheme="majorHAnsi"/>
          <w:sz w:val="24"/>
          <w:szCs w:val="24"/>
        </w:rPr>
        <w:t>о</w:t>
      </w:r>
      <w:r w:rsidRPr="00A05DC2">
        <w:rPr>
          <w:rFonts w:asciiTheme="majorHAnsi" w:hAnsiTheme="majorHAnsi"/>
          <w:sz w:val="24"/>
          <w:szCs w:val="24"/>
        </w:rPr>
        <w:t xml:space="preserve"> жилья в России. По итогам января-февраля 2014 года сложилось положительное сальдо экспорта строительных услуг в размере </w:t>
      </w:r>
      <w:r w:rsidRPr="00A05DC2">
        <w:rPr>
          <w:rFonts w:asciiTheme="majorHAnsi" w:hAnsiTheme="majorHAnsi"/>
          <w:sz w:val="24"/>
          <w:szCs w:val="24"/>
          <w:lang w:val="en-US"/>
        </w:rPr>
        <w:t>USD</w:t>
      </w:r>
      <w:r w:rsidRPr="00A05DC2">
        <w:rPr>
          <w:rFonts w:asciiTheme="majorHAnsi" w:hAnsiTheme="majorHAnsi"/>
          <w:sz w:val="24"/>
          <w:szCs w:val="24"/>
        </w:rPr>
        <w:t xml:space="preserve"> 8,7 </w:t>
      </w:r>
      <w:proofErr w:type="spellStart"/>
      <w:proofErr w:type="gramStart"/>
      <w:r w:rsidRPr="00A05DC2">
        <w:rPr>
          <w:rFonts w:asciiTheme="majorHAnsi" w:hAnsiTheme="majorHAnsi"/>
          <w:sz w:val="24"/>
          <w:szCs w:val="24"/>
        </w:rPr>
        <w:t>млн</w:t>
      </w:r>
      <w:proofErr w:type="spellEnd"/>
      <w:proofErr w:type="gramEnd"/>
      <w:r w:rsidRPr="00A05DC2">
        <w:rPr>
          <w:rFonts w:asciiTheme="majorHAnsi" w:hAnsiTheme="majorHAnsi"/>
          <w:sz w:val="24"/>
          <w:szCs w:val="24"/>
        </w:rPr>
        <w:t xml:space="preserve"> (годом ранее</w:t>
      </w:r>
      <w:r w:rsidR="001102AF">
        <w:rPr>
          <w:rFonts w:asciiTheme="majorHAnsi" w:hAnsiTheme="majorHAnsi"/>
          <w:sz w:val="24"/>
          <w:szCs w:val="24"/>
        </w:rPr>
        <w:t xml:space="preserve"> – </w:t>
      </w:r>
      <w:r w:rsidRPr="00A05DC2">
        <w:rPr>
          <w:rFonts w:asciiTheme="majorHAnsi" w:hAnsiTheme="majorHAnsi"/>
          <w:sz w:val="24"/>
          <w:szCs w:val="24"/>
        </w:rPr>
        <w:t>дефицит</w:t>
      </w:r>
      <w:r w:rsidR="001102AF">
        <w:rPr>
          <w:rFonts w:asciiTheme="majorHAnsi" w:hAnsiTheme="majorHAnsi"/>
          <w:sz w:val="24"/>
          <w:szCs w:val="24"/>
        </w:rPr>
        <w:t xml:space="preserve"> </w:t>
      </w:r>
      <w:r w:rsidRPr="00A05DC2">
        <w:rPr>
          <w:rFonts w:asciiTheme="majorHAnsi" w:hAnsiTheme="majorHAnsi"/>
          <w:sz w:val="24"/>
          <w:szCs w:val="24"/>
          <w:lang w:val="en-US"/>
        </w:rPr>
        <w:t>USD</w:t>
      </w:r>
      <w:r w:rsidRPr="00A05DC2">
        <w:rPr>
          <w:rFonts w:asciiTheme="majorHAnsi" w:hAnsiTheme="majorHAnsi"/>
          <w:sz w:val="24"/>
          <w:szCs w:val="24"/>
        </w:rPr>
        <w:t xml:space="preserve"> 1,7 </w:t>
      </w:r>
      <w:proofErr w:type="spellStart"/>
      <w:r w:rsidRPr="00A05DC2">
        <w:rPr>
          <w:rFonts w:asciiTheme="majorHAnsi" w:hAnsiTheme="majorHAnsi"/>
          <w:sz w:val="24"/>
          <w:szCs w:val="24"/>
        </w:rPr>
        <w:t>млн</w:t>
      </w:r>
      <w:proofErr w:type="spellEnd"/>
      <w:r w:rsidRPr="00A05DC2">
        <w:rPr>
          <w:rFonts w:asciiTheme="majorHAnsi" w:hAnsiTheme="majorHAnsi"/>
          <w:sz w:val="24"/>
          <w:szCs w:val="24"/>
        </w:rPr>
        <w:t>).</w:t>
      </w:r>
    </w:p>
    <w:p w:rsid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Определенный спад в строительстве ожидается по окончании ввода объектов к чемпионату мира по хоккею. </w:t>
      </w:r>
    </w:p>
    <w:p w:rsidR="001102AF" w:rsidRPr="00A05DC2" w:rsidRDefault="001102AF" w:rsidP="00C11730">
      <w:pPr>
        <w:tabs>
          <w:tab w:val="left" w:pos="10773"/>
        </w:tabs>
        <w:ind w:right="281"/>
        <w:jc w:val="both"/>
        <w:rPr>
          <w:rFonts w:asciiTheme="majorHAnsi" w:hAnsiTheme="majorHAnsi"/>
          <w:sz w:val="24"/>
          <w:szCs w:val="24"/>
        </w:rPr>
      </w:pPr>
    </w:p>
    <w:p w:rsidR="00A05DC2" w:rsidRPr="001102AF" w:rsidRDefault="00A05DC2" w:rsidP="00C11730">
      <w:pPr>
        <w:tabs>
          <w:tab w:val="left" w:pos="10773"/>
        </w:tabs>
        <w:ind w:right="281"/>
        <w:jc w:val="both"/>
        <w:rPr>
          <w:rFonts w:asciiTheme="majorHAnsi" w:hAnsiTheme="majorHAnsi"/>
          <w:b/>
          <w:sz w:val="24"/>
          <w:szCs w:val="24"/>
        </w:rPr>
      </w:pPr>
      <w:r w:rsidRPr="001102AF">
        <w:rPr>
          <w:rFonts w:asciiTheme="majorHAnsi" w:hAnsiTheme="majorHAnsi"/>
          <w:b/>
          <w:sz w:val="24"/>
          <w:szCs w:val="24"/>
          <w:lang w:val="en-US"/>
        </w:rPr>
        <w:t>IV</w:t>
      </w:r>
      <w:r w:rsidRPr="001102AF">
        <w:rPr>
          <w:rFonts w:asciiTheme="majorHAnsi" w:hAnsiTheme="majorHAnsi"/>
          <w:b/>
          <w:sz w:val="24"/>
          <w:szCs w:val="24"/>
        </w:rPr>
        <w:t>. Розничный товарооборот</w:t>
      </w:r>
    </w:p>
    <w:p w:rsidR="00A05DC2" w:rsidRPr="001102AF" w:rsidRDefault="00A05DC2" w:rsidP="00C11730">
      <w:pPr>
        <w:tabs>
          <w:tab w:val="left" w:pos="10773"/>
        </w:tabs>
        <w:ind w:right="281"/>
        <w:jc w:val="both"/>
        <w:rPr>
          <w:rFonts w:asciiTheme="majorHAnsi" w:hAnsiTheme="majorHAnsi"/>
          <w:b/>
          <w:sz w:val="24"/>
          <w:szCs w:val="24"/>
        </w:rPr>
      </w:pPr>
      <w:r w:rsidRPr="001102AF">
        <w:rPr>
          <w:rFonts w:asciiTheme="majorHAnsi" w:hAnsiTheme="majorHAnsi"/>
          <w:b/>
          <w:sz w:val="24"/>
          <w:szCs w:val="24"/>
        </w:rPr>
        <w:t>Финансы</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Чистая прибыль организаций розничного товарооборота (кроме торговли автомобилями) в январе-феврале 2014 года –</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140,5 млрд. Снижение к январю-февралю 2013 года на </w:t>
      </w:r>
      <w:r w:rsidRPr="00A05DC2">
        <w:rPr>
          <w:rFonts w:asciiTheme="majorHAnsi" w:hAnsiTheme="majorHAnsi"/>
          <w:sz w:val="24"/>
          <w:szCs w:val="24"/>
          <w:lang w:val="en-US"/>
        </w:rPr>
        <w:t>BYR</w:t>
      </w:r>
      <w:r w:rsidRPr="00A05DC2">
        <w:rPr>
          <w:rFonts w:asciiTheme="majorHAnsi" w:hAnsiTheme="majorHAnsi"/>
          <w:sz w:val="24"/>
          <w:szCs w:val="24"/>
        </w:rPr>
        <w:t xml:space="preserve"> 89,7 </w:t>
      </w:r>
      <w:proofErr w:type="spellStart"/>
      <w:proofErr w:type="gramStart"/>
      <w:r w:rsidRPr="00A05DC2">
        <w:rPr>
          <w:rFonts w:asciiTheme="majorHAnsi" w:hAnsiTheme="majorHAnsi"/>
          <w:sz w:val="24"/>
          <w:szCs w:val="24"/>
        </w:rPr>
        <w:t>млрд</w:t>
      </w:r>
      <w:proofErr w:type="spellEnd"/>
      <w:proofErr w:type="gramEnd"/>
      <w:r w:rsidR="001102AF">
        <w:rPr>
          <w:rFonts w:asciiTheme="majorHAnsi" w:hAnsiTheme="majorHAnsi"/>
          <w:sz w:val="24"/>
          <w:szCs w:val="24"/>
        </w:rPr>
        <w:t>,</w:t>
      </w:r>
      <w:r w:rsidRPr="00A05DC2">
        <w:rPr>
          <w:rFonts w:asciiTheme="majorHAnsi" w:hAnsiTheme="majorHAnsi"/>
          <w:sz w:val="24"/>
          <w:szCs w:val="24"/>
        </w:rPr>
        <w:t xml:space="preserve"> или на 39,0%.</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Число убыточных организаций, из числа отчитывающихся на регулярной основе выросло с 118 единиц (январь-февраль 2013 года) до 161 единицы Удельный вес убыточных организаций на 1 марта 2014 года</w:t>
      </w:r>
      <w:r w:rsidR="001102AF">
        <w:rPr>
          <w:rFonts w:asciiTheme="majorHAnsi" w:hAnsiTheme="majorHAnsi"/>
          <w:sz w:val="24"/>
          <w:szCs w:val="24"/>
        </w:rPr>
        <w:t xml:space="preserve"> – </w:t>
      </w:r>
      <w:r w:rsidRPr="00A05DC2">
        <w:rPr>
          <w:rFonts w:asciiTheme="majorHAnsi" w:hAnsiTheme="majorHAnsi"/>
          <w:sz w:val="24"/>
          <w:szCs w:val="24"/>
        </w:rPr>
        <w:t>21,1%</w:t>
      </w:r>
      <w:r w:rsidR="001102AF">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Чистые убытки убыточных предприятий выросли в 2,1 раза</w:t>
      </w:r>
      <w:r w:rsidR="001102AF">
        <w:rPr>
          <w:rFonts w:asciiTheme="majorHAnsi" w:hAnsiTheme="majorHAnsi"/>
          <w:sz w:val="24"/>
          <w:szCs w:val="24"/>
        </w:rPr>
        <w:t xml:space="preserve"> – </w:t>
      </w:r>
      <w:r w:rsidRPr="00A05DC2">
        <w:rPr>
          <w:rFonts w:asciiTheme="majorHAnsi" w:hAnsiTheme="majorHAnsi"/>
          <w:sz w:val="24"/>
          <w:szCs w:val="24"/>
        </w:rPr>
        <w:t>с</w:t>
      </w:r>
      <w:r w:rsidR="001102AF">
        <w:rPr>
          <w:rFonts w:asciiTheme="majorHAnsi" w:hAnsiTheme="majorHAnsi"/>
          <w:sz w:val="24"/>
          <w:szCs w:val="24"/>
        </w:rPr>
        <w:t xml:space="preserve"> </w:t>
      </w:r>
      <w:r w:rsidRPr="00A05DC2">
        <w:rPr>
          <w:rFonts w:asciiTheme="majorHAnsi" w:hAnsiTheme="majorHAnsi"/>
          <w:sz w:val="24"/>
          <w:szCs w:val="24"/>
          <w:lang w:val="en-US"/>
        </w:rPr>
        <w:t>BYR</w:t>
      </w:r>
      <w:r w:rsidRPr="00A05DC2">
        <w:rPr>
          <w:rFonts w:asciiTheme="majorHAnsi" w:hAnsiTheme="majorHAnsi"/>
          <w:sz w:val="24"/>
          <w:szCs w:val="24"/>
        </w:rPr>
        <w:t xml:space="preserve"> 76,2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162,5 млрд.</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Кредиторская задолженность</w:t>
      </w:r>
      <w:r w:rsidR="001102AF">
        <w:rPr>
          <w:rFonts w:asciiTheme="majorHAnsi" w:hAnsiTheme="majorHAnsi"/>
          <w:sz w:val="24"/>
          <w:szCs w:val="24"/>
        </w:rPr>
        <w:t xml:space="preserve"> – </w:t>
      </w:r>
      <w:r w:rsidRPr="00A05DC2">
        <w:rPr>
          <w:rFonts w:asciiTheme="majorHAnsi" w:hAnsiTheme="majorHAnsi"/>
          <w:sz w:val="24"/>
          <w:szCs w:val="24"/>
        </w:rPr>
        <w:t>прирост</w:t>
      </w:r>
      <w:r w:rsidR="001102AF">
        <w:rPr>
          <w:rFonts w:asciiTheme="majorHAnsi" w:hAnsiTheme="majorHAnsi"/>
          <w:sz w:val="24"/>
          <w:szCs w:val="24"/>
        </w:rPr>
        <w:t xml:space="preserve"> </w:t>
      </w:r>
      <w:r w:rsidRPr="00A05DC2">
        <w:rPr>
          <w:rFonts w:asciiTheme="majorHAnsi" w:hAnsiTheme="majorHAnsi"/>
          <w:sz w:val="24"/>
          <w:szCs w:val="24"/>
        </w:rPr>
        <w:t xml:space="preserve">в феврале на </w:t>
      </w:r>
      <w:r w:rsidRPr="00A05DC2">
        <w:rPr>
          <w:rFonts w:asciiTheme="majorHAnsi" w:hAnsiTheme="majorHAnsi"/>
          <w:sz w:val="24"/>
          <w:szCs w:val="24"/>
          <w:lang w:val="en-US"/>
        </w:rPr>
        <w:t>BYR</w:t>
      </w:r>
      <w:r w:rsidRPr="00A05DC2">
        <w:rPr>
          <w:rFonts w:asciiTheme="majorHAnsi" w:hAnsiTheme="majorHAnsi"/>
          <w:sz w:val="24"/>
          <w:szCs w:val="24"/>
        </w:rPr>
        <w:t xml:space="preserve"> 444,3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16 745,5 млрд. Удельный вес просроченной кредиторской задолженности на 1 февраля</w:t>
      </w:r>
      <w:r w:rsidR="001102AF">
        <w:rPr>
          <w:rFonts w:asciiTheme="majorHAnsi" w:hAnsiTheme="majorHAnsi"/>
          <w:sz w:val="24"/>
          <w:szCs w:val="24"/>
        </w:rPr>
        <w:t xml:space="preserve"> – </w:t>
      </w:r>
      <w:r w:rsidRPr="00A05DC2">
        <w:rPr>
          <w:rFonts w:asciiTheme="majorHAnsi" w:hAnsiTheme="majorHAnsi"/>
          <w:sz w:val="24"/>
          <w:szCs w:val="24"/>
        </w:rPr>
        <w:t xml:space="preserve">6,64%. В феврале просроченная кредиторская задолженность сократилась на </w:t>
      </w:r>
      <w:r w:rsidRPr="00A05DC2">
        <w:rPr>
          <w:rFonts w:asciiTheme="majorHAnsi" w:hAnsiTheme="majorHAnsi"/>
          <w:sz w:val="24"/>
          <w:szCs w:val="24"/>
          <w:lang w:val="en-US"/>
        </w:rPr>
        <w:t>BYR</w:t>
      </w:r>
      <w:r w:rsidRPr="00A05DC2">
        <w:rPr>
          <w:rFonts w:asciiTheme="majorHAnsi" w:hAnsiTheme="majorHAnsi"/>
          <w:sz w:val="24"/>
          <w:szCs w:val="24"/>
        </w:rPr>
        <w:t xml:space="preserve"> 16,3 млрд.</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Дебиторская задолженность-сокращение в феврале на </w:t>
      </w:r>
      <w:r w:rsidRPr="00A05DC2">
        <w:rPr>
          <w:rFonts w:asciiTheme="majorHAnsi" w:hAnsiTheme="majorHAnsi"/>
          <w:sz w:val="24"/>
          <w:szCs w:val="24"/>
          <w:lang w:val="en-US"/>
        </w:rPr>
        <w:t>BYR</w:t>
      </w:r>
      <w:r w:rsidRPr="00A05DC2">
        <w:rPr>
          <w:rFonts w:asciiTheme="majorHAnsi" w:hAnsiTheme="majorHAnsi"/>
          <w:sz w:val="24"/>
          <w:szCs w:val="24"/>
        </w:rPr>
        <w:t xml:space="preserve"> 211,5 </w:t>
      </w:r>
      <w:proofErr w:type="spellStart"/>
      <w:proofErr w:type="gramStart"/>
      <w:r w:rsidRPr="00A05DC2">
        <w:rPr>
          <w:rFonts w:asciiTheme="majorHAnsi" w:hAnsiTheme="majorHAnsi"/>
          <w:sz w:val="24"/>
          <w:szCs w:val="24"/>
        </w:rPr>
        <w:t>млрд</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4 973,8 млрд. Удельный вес просроченной дебиторской задолженности на 1 февраля</w:t>
      </w:r>
      <w:r w:rsidR="001102AF">
        <w:rPr>
          <w:rFonts w:asciiTheme="majorHAnsi" w:hAnsiTheme="majorHAnsi"/>
          <w:sz w:val="24"/>
          <w:szCs w:val="24"/>
        </w:rPr>
        <w:t xml:space="preserve"> – </w:t>
      </w:r>
      <w:r w:rsidRPr="00A05DC2">
        <w:rPr>
          <w:rFonts w:asciiTheme="majorHAnsi" w:hAnsiTheme="majorHAnsi"/>
          <w:sz w:val="24"/>
          <w:szCs w:val="24"/>
        </w:rPr>
        <w:t xml:space="preserve">5,49%. В феврале  просроченная дебиторская задолженность снизилась на </w:t>
      </w:r>
      <w:r w:rsidRPr="00A05DC2">
        <w:rPr>
          <w:rFonts w:asciiTheme="majorHAnsi" w:hAnsiTheme="majorHAnsi"/>
          <w:sz w:val="24"/>
          <w:szCs w:val="24"/>
          <w:lang w:val="en-US"/>
        </w:rPr>
        <w:t>BYR</w:t>
      </w:r>
      <w:r w:rsidRPr="00A05DC2">
        <w:rPr>
          <w:rFonts w:asciiTheme="majorHAnsi" w:hAnsiTheme="majorHAnsi"/>
          <w:sz w:val="24"/>
          <w:szCs w:val="24"/>
        </w:rPr>
        <w:t xml:space="preserve"> 0,9 млрд.</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марте 2014 года розничный товарооборот через все каналы реализации существенно вырос относительно февраля 2014 года с </w:t>
      </w:r>
      <w:r w:rsidRPr="00A05DC2">
        <w:rPr>
          <w:rFonts w:asciiTheme="majorHAnsi" w:hAnsiTheme="majorHAnsi"/>
          <w:sz w:val="24"/>
          <w:szCs w:val="24"/>
          <w:lang w:val="en-US"/>
        </w:rPr>
        <w:t>BYR</w:t>
      </w:r>
      <w:r w:rsidRPr="00A05DC2">
        <w:rPr>
          <w:rFonts w:asciiTheme="majorHAnsi" w:hAnsiTheme="majorHAnsi"/>
          <w:sz w:val="24"/>
          <w:szCs w:val="24"/>
        </w:rPr>
        <w:t xml:space="preserve"> 21,5 </w:t>
      </w:r>
      <w:proofErr w:type="spellStart"/>
      <w:proofErr w:type="gramStart"/>
      <w:r w:rsidRPr="00A05DC2">
        <w:rPr>
          <w:rFonts w:asciiTheme="majorHAnsi" w:hAnsiTheme="majorHAnsi"/>
          <w:sz w:val="24"/>
          <w:szCs w:val="24"/>
        </w:rPr>
        <w:t>трлн</w:t>
      </w:r>
      <w:proofErr w:type="spellEnd"/>
      <w:proofErr w:type="gramEnd"/>
      <w:r w:rsidRPr="00A05DC2">
        <w:rPr>
          <w:rFonts w:asciiTheme="majorHAnsi" w:hAnsiTheme="majorHAnsi"/>
          <w:sz w:val="24"/>
          <w:szCs w:val="24"/>
        </w:rPr>
        <w:t xml:space="preserve"> до </w:t>
      </w:r>
      <w:r w:rsidRPr="00A05DC2">
        <w:rPr>
          <w:rFonts w:asciiTheme="majorHAnsi" w:hAnsiTheme="majorHAnsi"/>
          <w:sz w:val="24"/>
          <w:szCs w:val="24"/>
          <w:lang w:val="en-US"/>
        </w:rPr>
        <w:t>BYR</w:t>
      </w:r>
      <w:r w:rsidRPr="00A05DC2">
        <w:rPr>
          <w:rFonts w:asciiTheme="majorHAnsi" w:hAnsiTheme="majorHAnsi"/>
          <w:sz w:val="24"/>
          <w:szCs w:val="24"/>
        </w:rPr>
        <w:t xml:space="preserve"> 24,5 трлн. Рост заработных плат в марте, наличие общегосударственных праздников привело к традиционному всплеску в розничной торговле.</w:t>
      </w:r>
    </w:p>
    <w:p w:rsidR="00A05DC2" w:rsidRPr="00A05DC2" w:rsidRDefault="00A05DC2" w:rsidP="00C11730">
      <w:pPr>
        <w:tabs>
          <w:tab w:val="left" w:pos="10773"/>
        </w:tabs>
        <w:ind w:right="281"/>
        <w:jc w:val="both"/>
        <w:rPr>
          <w:rFonts w:asciiTheme="majorHAnsi" w:hAnsiTheme="majorHAnsi"/>
          <w:sz w:val="24"/>
          <w:szCs w:val="24"/>
        </w:rPr>
      </w:pPr>
      <w:proofErr w:type="gramStart"/>
      <w:r w:rsidRPr="00A05DC2">
        <w:rPr>
          <w:rFonts w:asciiTheme="majorHAnsi" w:hAnsiTheme="majorHAnsi"/>
          <w:sz w:val="24"/>
          <w:szCs w:val="24"/>
        </w:rPr>
        <w:t>В региональном разрезе 10 районов демонстрируют снижение индексов розничного товарооборота к марту 2013 года. 6 районов из 10 относятся к Витебской области, 2 –</w:t>
      </w:r>
      <w:r w:rsidR="001102AF">
        <w:rPr>
          <w:rFonts w:asciiTheme="majorHAnsi" w:hAnsiTheme="majorHAnsi"/>
          <w:sz w:val="24"/>
          <w:szCs w:val="24"/>
        </w:rPr>
        <w:t xml:space="preserve"> </w:t>
      </w:r>
      <w:r w:rsidRPr="00A05DC2">
        <w:rPr>
          <w:rFonts w:asciiTheme="majorHAnsi" w:hAnsiTheme="majorHAnsi"/>
          <w:sz w:val="24"/>
          <w:szCs w:val="24"/>
        </w:rPr>
        <w:t>к Гродненской области, 1</w:t>
      </w:r>
      <w:r w:rsidR="001102AF">
        <w:rPr>
          <w:rFonts w:asciiTheme="majorHAnsi" w:hAnsiTheme="majorHAnsi"/>
          <w:sz w:val="24"/>
          <w:szCs w:val="24"/>
        </w:rPr>
        <w:t xml:space="preserve"> – </w:t>
      </w:r>
      <w:r w:rsidRPr="00A05DC2">
        <w:rPr>
          <w:rFonts w:asciiTheme="majorHAnsi" w:hAnsiTheme="majorHAnsi"/>
          <w:sz w:val="24"/>
          <w:szCs w:val="24"/>
        </w:rPr>
        <w:t>к</w:t>
      </w:r>
      <w:r w:rsidR="001102AF">
        <w:rPr>
          <w:rFonts w:asciiTheme="majorHAnsi" w:hAnsiTheme="majorHAnsi"/>
          <w:sz w:val="24"/>
          <w:szCs w:val="24"/>
        </w:rPr>
        <w:t xml:space="preserve"> </w:t>
      </w:r>
      <w:r w:rsidRPr="00A05DC2">
        <w:rPr>
          <w:rFonts w:asciiTheme="majorHAnsi" w:hAnsiTheme="majorHAnsi"/>
          <w:sz w:val="24"/>
          <w:szCs w:val="24"/>
        </w:rPr>
        <w:t>Брестской области, 1</w:t>
      </w:r>
      <w:r w:rsidR="001102AF">
        <w:rPr>
          <w:rFonts w:asciiTheme="majorHAnsi" w:hAnsiTheme="majorHAnsi"/>
          <w:sz w:val="24"/>
          <w:szCs w:val="24"/>
        </w:rPr>
        <w:t xml:space="preserve"> –</w:t>
      </w:r>
      <w:r w:rsidRPr="00A05DC2">
        <w:rPr>
          <w:rFonts w:asciiTheme="majorHAnsi" w:hAnsiTheme="majorHAnsi"/>
          <w:sz w:val="24"/>
          <w:szCs w:val="24"/>
        </w:rPr>
        <w:t xml:space="preserve"> к</w:t>
      </w:r>
      <w:r w:rsidR="001102AF">
        <w:rPr>
          <w:rFonts w:asciiTheme="majorHAnsi" w:hAnsiTheme="majorHAnsi"/>
          <w:sz w:val="24"/>
          <w:szCs w:val="24"/>
        </w:rPr>
        <w:t xml:space="preserve"> </w:t>
      </w:r>
      <w:r w:rsidRPr="00A05DC2">
        <w:rPr>
          <w:rFonts w:asciiTheme="majorHAnsi" w:hAnsiTheme="majorHAnsi"/>
          <w:sz w:val="24"/>
          <w:szCs w:val="24"/>
        </w:rPr>
        <w:t>Могилевской.</w:t>
      </w:r>
      <w:proofErr w:type="gramEnd"/>
      <w:r w:rsidRPr="00A05DC2">
        <w:rPr>
          <w:rFonts w:asciiTheme="majorHAnsi" w:hAnsiTheme="majorHAnsi"/>
          <w:sz w:val="24"/>
          <w:szCs w:val="24"/>
        </w:rPr>
        <w:t xml:space="preserve"> Наибольшее снижение индексов розничного товарооборота</w:t>
      </w:r>
      <w:r w:rsidR="001102AF">
        <w:rPr>
          <w:rFonts w:asciiTheme="majorHAnsi" w:hAnsiTheme="majorHAnsi"/>
          <w:sz w:val="24"/>
          <w:szCs w:val="24"/>
        </w:rPr>
        <w:t xml:space="preserve"> – </w:t>
      </w:r>
      <w:r w:rsidRPr="00A05DC2">
        <w:rPr>
          <w:rFonts w:asciiTheme="majorHAnsi" w:hAnsiTheme="majorHAnsi"/>
          <w:sz w:val="24"/>
          <w:szCs w:val="24"/>
        </w:rPr>
        <w:t>в</w:t>
      </w:r>
      <w:r w:rsidR="001102AF">
        <w:rPr>
          <w:rFonts w:asciiTheme="majorHAnsi" w:hAnsiTheme="majorHAnsi"/>
          <w:sz w:val="24"/>
          <w:szCs w:val="24"/>
        </w:rPr>
        <w:t xml:space="preserve"> </w:t>
      </w:r>
      <w:proofErr w:type="spellStart"/>
      <w:r w:rsidRPr="00A05DC2">
        <w:rPr>
          <w:rFonts w:asciiTheme="majorHAnsi" w:hAnsiTheme="majorHAnsi"/>
          <w:sz w:val="24"/>
          <w:szCs w:val="24"/>
        </w:rPr>
        <w:t>Малоритском</w:t>
      </w:r>
      <w:proofErr w:type="spellEnd"/>
      <w:r w:rsidRPr="00A05DC2">
        <w:rPr>
          <w:rFonts w:asciiTheme="majorHAnsi" w:hAnsiTheme="majorHAnsi"/>
          <w:sz w:val="24"/>
          <w:szCs w:val="24"/>
        </w:rPr>
        <w:t xml:space="preserve"> районе Брестской области</w:t>
      </w:r>
      <w:r w:rsidR="001102AF">
        <w:rPr>
          <w:rFonts w:asciiTheme="majorHAnsi" w:hAnsiTheme="majorHAnsi"/>
          <w:sz w:val="24"/>
          <w:szCs w:val="24"/>
        </w:rPr>
        <w:t xml:space="preserve"> – </w:t>
      </w:r>
      <w:r w:rsidRPr="00A05DC2">
        <w:rPr>
          <w:rFonts w:asciiTheme="majorHAnsi" w:hAnsiTheme="majorHAnsi"/>
          <w:sz w:val="24"/>
          <w:szCs w:val="24"/>
        </w:rPr>
        <w:t>на 12,3% к марту 2013 года. Самый высокий индекс розничного товарооборота</w:t>
      </w:r>
      <w:r w:rsidR="001102AF">
        <w:rPr>
          <w:rFonts w:asciiTheme="majorHAnsi" w:hAnsiTheme="majorHAnsi"/>
          <w:sz w:val="24"/>
          <w:szCs w:val="24"/>
        </w:rPr>
        <w:t xml:space="preserve"> – </w:t>
      </w:r>
      <w:r w:rsidRPr="00A05DC2">
        <w:rPr>
          <w:rFonts w:asciiTheme="majorHAnsi" w:hAnsiTheme="majorHAnsi"/>
          <w:sz w:val="24"/>
          <w:szCs w:val="24"/>
        </w:rPr>
        <w:t>в</w:t>
      </w:r>
      <w:r w:rsidR="001102AF">
        <w:rPr>
          <w:rFonts w:asciiTheme="majorHAnsi" w:hAnsiTheme="majorHAnsi"/>
          <w:sz w:val="24"/>
          <w:szCs w:val="24"/>
        </w:rPr>
        <w:t xml:space="preserve"> </w:t>
      </w:r>
      <w:proofErr w:type="spellStart"/>
      <w:r w:rsidRPr="00A05DC2">
        <w:rPr>
          <w:rFonts w:asciiTheme="majorHAnsi" w:hAnsiTheme="majorHAnsi"/>
          <w:sz w:val="24"/>
          <w:szCs w:val="24"/>
        </w:rPr>
        <w:t>Буда-Кошелевском</w:t>
      </w:r>
      <w:proofErr w:type="spellEnd"/>
      <w:r w:rsidRPr="00A05DC2">
        <w:rPr>
          <w:rFonts w:asciiTheme="majorHAnsi" w:hAnsiTheme="majorHAnsi"/>
          <w:sz w:val="24"/>
          <w:szCs w:val="24"/>
        </w:rPr>
        <w:t xml:space="preserve"> районе Гомельской области</w:t>
      </w:r>
      <w:r w:rsidR="001102AF">
        <w:rPr>
          <w:rFonts w:asciiTheme="majorHAnsi" w:hAnsiTheme="majorHAnsi"/>
          <w:sz w:val="24"/>
          <w:szCs w:val="24"/>
        </w:rPr>
        <w:t xml:space="preserve"> –</w:t>
      </w:r>
      <w:r w:rsidRPr="00A05DC2">
        <w:rPr>
          <w:rFonts w:asciiTheme="majorHAnsi" w:hAnsiTheme="majorHAnsi"/>
          <w:sz w:val="24"/>
          <w:szCs w:val="24"/>
        </w:rPr>
        <w:t xml:space="preserve"> 125,4 % к марту 2013 года.</w:t>
      </w:r>
    </w:p>
    <w:p w:rsidR="00A05DC2" w:rsidRPr="001102AF" w:rsidRDefault="001102AF" w:rsidP="00C11730">
      <w:pPr>
        <w:tabs>
          <w:tab w:val="left" w:pos="10773"/>
        </w:tabs>
        <w:ind w:right="281"/>
        <w:jc w:val="both"/>
        <w:rPr>
          <w:rFonts w:asciiTheme="majorHAnsi" w:hAnsiTheme="majorHAnsi"/>
          <w:b/>
          <w:sz w:val="24"/>
          <w:szCs w:val="24"/>
        </w:rPr>
      </w:pPr>
      <w:r>
        <w:rPr>
          <w:rFonts w:asciiTheme="majorHAnsi" w:hAnsiTheme="majorHAnsi"/>
          <w:b/>
          <w:sz w:val="24"/>
          <w:szCs w:val="24"/>
        </w:rPr>
        <w:t>Текущая ситуация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w:t>
      </w:r>
      <w:proofErr w:type="gramStart"/>
      <w:r w:rsidRPr="00A05DC2">
        <w:rPr>
          <w:rFonts w:asciiTheme="majorHAnsi" w:hAnsiTheme="majorHAnsi"/>
          <w:sz w:val="24"/>
          <w:szCs w:val="24"/>
        </w:rPr>
        <w:t>марте</w:t>
      </w:r>
      <w:proofErr w:type="gramEnd"/>
      <w:r w:rsidRPr="00A05DC2">
        <w:rPr>
          <w:rFonts w:asciiTheme="majorHAnsi" w:hAnsiTheme="majorHAnsi"/>
          <w:sz w:val="24"/>
          <w:szCs w:val="24"/>
        </w:rPr>
        <w:t xml:space="preserve"> наблюдался прирост динамики розничной торговли, что стало следствием первого в 2014 году роста реальной заработной платы в помесячной динамике. Торговля на рынках может претерпеть определенные изменения. Предполагается обязать индивидуальных предпринимателей продавать одновременно с импортной продукцией изделия отечественной промышленности.  Претензий не будут предъявляться в случае отсутствия отечественных аналогов импортной продукции.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lastRenderedPageBreak/>
        <w:t xml:space="preserve">Претерпела изменения система функционирования магазинов беспошлинной торговли. Владельцем магазина беспошлинной торговли может быть либо государственное предприятие, либо юридическое лицо, в уставном фонде которого не менее 49% акций </w:t>
      </w:r>
      <w:r w:rsidR="001102AF" w:rsidRPr="00A05DC2">
        <w:rPr>
          <w:rFonts w:asciiTheme="majorHAnsi" w:hAnsiTheme="majorHAnsi"/>
          <w:sz w:val="24"/>
          <w:szCs w:val="24"/>
        </w:rPr>
        <w:t xml:space="preserve">будет </w:t>
      </w:r>
      <w:r w:rsidRPr="00A05DC2">
        <w:rPr>
          <w:rFonts w:asciiTheme="majorHAnsi" w:hAnsiTheme="majorHAnsi"/>
          <w:sz w:val="24"/>
          <w:szCs w:val="24"/>
        </w:rPr>
        <w:t>принадлежать государству. Данное юридическое лицо будет обязано перечислять в республиканский бюджет ежеквартальные отчисления в размере 10% от выручки. Указ вступит в силу с июля 2014 года.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Для апреля характерен торговый оборот на уровне значений марта с </w:t>
      </w:r>
      <w:proofErr w:type="gramStart"/>
      <w:r w:rsidRPr="00A05DC2">
        <w:rPr>
          <w:rFonts w:asciiTheme="majorHAnsi" w:hAnsiTheme="majorHAnsi"/>
          <w:sz w:val="24"/>
          <w:szCs w:val="24"/>
        </w:rPr>
        <w:t>незначительными</w:t>
      </w:r>
      <w:proofErr w:type="gramEnd"/>
      <w:r w:rsidRPr="00A05DC2">
        <w:rPr>
          <w:rFonts w:asciiTheme="majorHAnsi" w:hAnsiTheme="majorHAnsi"/>
          <w:sz w:val="24"/>
          <w:szCs w:val="24"/>
        </w:rPr>
        <w:t xml:space="preserve"> отклонениям в ту или иную сторону.  Определенную роль могут сыграть благоприятные погодные условия и длительные выходные, способствующие потребительским расходам населения.</w:t>
      </w:r>
    </w:p>
    <w:p w:rsidR="00A05DC2" w:rsidRPr="00A05DC2" w:rsidRDefault="00A05DC2" w:rsidP="00C11730">
      <w:pPr>
        <w:tabs>
          <w:tab w:val="left" w:pos="10773"/>
        </w:tabs>
        <w:ind w:right="281"/>
        <w:jc w:val="both"/>
        <w:rPr>
          <w:rFonts w:asciiTheme="majorHAnsi" w:hAnsiTheme="majorHAnsi"/>
          <w:i/>
          <w:sz w:val="24"/>
          <w:szCs w:val="24"/>
        </w:rPr>
      </w:pPr>
    </w:p>
    <w:p w:rsidR="00A05DC2" w:rsidRPr="00A05DC2" w:rsidRDefault="00A05DC2" w:rsidP="00C11730">
      <w:pPr>
        <w:tabs>
          <w:tab w:val="left" w:pos="10773"/>
        </w:tabs>
        <w:ind w:right="281"/>
        <w:jc w:val="both"/>
        <w:rPr>
          <w:rFonts w:asciiTheme="majorHAnsi" w:hAnsiTheme="majorHAnsi"/>
          <w:sz w:val="24"/>
          <w:szCs w:val="24"/>
        </w:rPr>
      </w:pPr>
      <w:r w:rsidRPr="001102AF">
        <w:rPr>
          <w:rFonts w:asciiTheme="majorHAnsi" w:hAnsiTheme="majorHAnsi"/>
          <w:b/>
          <w:sz w:val="24"/>
          <w:szCs w:val="24"/>
        </w:rPr>
        <w:t>КРАТКОСРОЧНАЯ ТЕНДЕНЦИЯ</w:t>
      </w:r>
      <w:r w:rsidRPr="00A05DC2">
        <w:rPr>
          <w:rFonts w:asciiTheme="majorHAnsi" w:hAnsiTheme="majorHAnsi"/>
          <w:sz w:val="24"/>
          <w:szCs w:val="24"/>
        </w:rPr>
        <w:t xml:space="preserve"> – общее незначительное улучшение состояние дел в экономике, номинальный рост ВВП не отображает реальную ситуацию вследствие несовершенства методологии учета показателей.</w:t>
      </w:r>
    </w:p>
    <w:p w:rsidR="00A05DC2" w:rsidRPr="00A05DC2" w:rsidRDefault="00A05DC2" w:rsidP="00C11730">
      <w:pPr>
        <w:tabs>
          <w:tab w:val="left" w:pos="10773"/>
        </w:tabs>
        <w:ind w:right="281"/>
        <w:jc w:val="both"/>
        <w:rPr>
          <w:rFonts w:asciiTheme="majorHAnsi" w:hAnsiTheme="majorHAnsi"/>
          <w:sz w:val="24"/>
          <w:szCs w:val="24"/>
        </w:rPr>
      </w:pPr>
      <w:r w:rsidRPr="00A62E7E">
        <w:rPr>
          <w:rFonts w:asciiTheme="majorHAnsi" w:hAnsiTheme="majorHAnsi"/>
          <w:b/>
          <w:sz w:val="24"/>
          <w:szCs w:val="24"/>
        </w:rPr>
        <w:t>Промышленность</w:t>
      </w:r>
      <w:r w:rsidR="00A62E7E">
        <w:rPr>
          <w:rFonts w:asciiTheme="majorHAnsi" w:hAnsiTheme="majorHAnsi"/>
          <w:sz w:val="24"/>
          <w:szCs w:val="24"/>
        </w:rPr>
        <w:t>. О</w:t>
      </w:r>
      <w:r w:rsidRPr="00A05DC2">
        <w:rPr>
          <w:rFonts w:asciiTheme="majorHAnsi" w:hAnsiTheme="majorHAnsi"/>
          <w:sz w:val="24"/>
          <w:szCs w:val="24"/>
        </w:rPr>
        <w:t xml:space="preserve">сновным драйвером роста станет химическая </w:t>
      </w:r>
      <w:r w:rsidR="00A62E7E" w:rsidRPr="00A05DC2">
        <w:rPr>
          <w:rFonts w:asciiTheme="majorHAnsi" w:hAnsiTheme="majorHAnsi"/>
          <w:sz w:val="24"/>
          <w:szCs w:val="24"/>
        </w:rPr>
        <w:t>промышленность</w:t>
      </w:r>
      <w:r w:rsidRPr="00A05DC2">
        <w:rPr>
          <w:rFonts w:asciiTheme="majorHAnsi" w:hAnsiTheme="majorHAnsi"/>
          <w:sz w:val="24"/>
          <w:szCs w:val="24"/>
        </w:rPr>
        <w:t>, позитивная динамика ожидается в нефтепереработке и деревообработке. Состояние дел в машиностроении не улучшится, не исключено расширение применения режима неполной занятости на крупных предприятиях</w:t>
      </w:r>
      <w:r w:rsidR="00A62E7E">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w:t>
      </w:r>
      <w:r w:rsidRPr="00A62E7E">
        <w:rPr>
          <w:rFonts w:asciiTheme="majorHAnsi" w:hAnsiTheme="majorHAnsi"/>
          <w:b/>
          <w:sz w:val="24"/>
          <w:szCs w:val="24"/>
        </w:rPr>
        <w:t>пищевой промышленности</w:t>
      </w:r>
      <w:r w:rsidRPr="00A05DC2">
        <w:rPr>
          <w:rFonts w:asciiTheme="majorHAnsi" w:hAnsiTheme="majorHAnsi"/>
          <w:sz w:val="24"/>
          <w:szCs w:val="24"/>
        </w:rPr>
        <w:t xml:space="preserve"> сохранится ситуация с нехваткой сырья. В отрасли намечается рост цен на продукцию вследствие удорожания сырья и благоприятной конъюнктуры на основном внешнем рынке. Благоприятный период </w:t>
      </w:r>
      <w:proofErr w:type="gramStart"/>
      <w:r w:rsidRPr="00A05DC2">
        <w:rPr>
          <w:rFonts w:asciiTheme="majorHAnsi" w:hAnsiTheme="majorHAnsi"/>
          <w:sz w:val="24"/>
          <w:szCs w:val="24"/>
        </w:rPr>
        <w:t>для птицеводства в связи с наличием достаточных мощностей для удовлетворения растущего спроса на продукцию</w:t>
      </w:r>
      <w:proofErr w:type="gramEnd"/>
      <w:r w:rsidRPr="00A05DC2">
        <w:rPr>
          <w:rFonts w:asciiTheme="majorHAnsi" w:hAnsiTheme="majorHAnsi"/>
          <w:sz w:val="24"/>
          <w:szCs w:val="24"/>
        </w:rPr>
        <w:t>. Молокоперерабатывающим предприятиям достигнуть результатов 2013 года будет проблематично вследствие прекращения роста цен на внешних рынках.</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Для </w:t>
      </w:r>
      <w:r w:rsidRPr="00A62E7E">
        <w:rPr>
          <w:rFonts w:asciiTheme="majorHAnsi" w:hAnsiTheme="majorHAnsi"/>
          <w:b/>
          <w:sz w:val="24"/>
          <w:szCs w:val="24"/>
        </w:rPr>
        <w:t>нефтепереработки</w:t>
      </w:r>
      <w:r w:rsidRPr="00A05DC2">
        <w:rPr>
          <w:rFonts w:asciiTheme="majorHAnsi" w:hAnsiTheme="majorHAnsi"/>
          <w:sz w:val="24"/>
          <w:szCs w:val="24"/>
        </w:rPr>
        <w:t xml:space="preserve"> наступила ясность в режиме функционирования в 2014 году, объем поставок нефти согласован, однако не исключены определенные корректировки планов вследствие </w:t>
      </w:r>
      <w:proofErr w:type="spellStart"/>
      <w:r w:rsidRPr="00A05DC2">
        <w:rPr>
          <w:rFonts w:asciiTheme="majorHAnsi" w:hAnsiTheme="majorHAnsi"/>
          <w:sz w:val="24"/>
          <w:szCs w:val="24"/>
        </w:rPr>
        <w:t>недостижения</w:t>
      </w:r>
      <w:proofErr w:type="spellEnd"/>
      <w:r w:rsidRPr="00A05DC2">
        <w:rPr>
          <w:rFonts w:asciiTheme="majorHAnsi" w:hAnsiTheme="majorHAnsi"/>
          <w:sz w:val="24"/>
          <w:szCs w:val="24"/>
        </w:rPr>
        <w:t xml:space="preserve"> нужных белорусской стороне результатов в части отмены ограничений по движению энергоресурсов в рамках ЕЭП.</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w:t>
      </w:r>
      <w:r w:rsidRPr="00A62E7E">
        <w:rPr>
          <w:rFonts w:asciiTheme="majorHAnsi" w:hAnsiTheme="majorHAnsi"/>
          <w:b/>
          <w:sz w:val="24"/>
          <w:szCs w:val="24"/>
        </w:rPr>
        <w:t>химической промышленности</w:t>
      </w:r>
      <w:r w:rsidRPr="00A05DC2">
        <w:rPr>
          <w:rFonts w:asciiTheme="majorHAnsi" w:hAnsiTheme="majorHAnsi"/>
          <w:sz w:val="24"/>
          <w:szCs w:val="24"/>
        </w:rPr>
        <w:t xml:space="preserve"> сохранится рост производственных показателей, финансовая картина существенно изменена отменой экспортных пошлин на калийные удобрения. С учетом ожидаемого снижения сравнительной базы и высокого удельного веса в индексе промышленного производства, отрасль может стать одним из драйверов роста количественных показателей промышленности в 2014 году. Восстановление цен на внешних рынках медленное, ставка делается на количественные объемы продаж.</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В </w:t>
      </w:r>
      <w:proofErr w:type="gramStart"/>
      <w:r w:rsidRPr="00A62E7E">
        <w:rPr>
          <w:rFonts w:asciiTheme="majorHAnsi" w:hAnsiTheme="majorHAnsi"/>
          <w:b/>
          <w:sz w:val="24"/>
          <w:szCs w:val="24"/>
        </w:rPr>
        <w:t>машиностроении</w:t>
      </w:r>
      <w:proofErr w:type="gramEnd"/>
      <w:r w:rsidRPr="00A05DC2">
        <w:rPr>
          <w:rFonts w:asciiTheme="majorHAnsi" w:hAnsiTheme="majorHAnsi"/>
          <w:sz w:val="24"/>
          <w:szCs w:val="24"/>
        </w:rPr>
        <w:t xml:space="preserve"> сохранятся негативные тенденции, российский рынок </w:t>
      </w:r>
      <w:r w:rsidR="00A62E7E">
        <w:rPr>
          <w:rFonts w:asciiTheme="majorHAnsi" w:hAnsiTheme="majorHAnsi"/>
          <w:sz w:val="24"/>
          <w:szCs w:val="24"/>
        </w:rPr>
        <w:t>н</w:t>
      </w:r>
      <w:r w:rsidRPr="00A05DC2">
        <w:rPr>
          <w:rFonts w:asciiTheme="majorHAnsi" w:hAnsiTheme="majorHAnsi"/>
          <w:sz w:val="24"/>
          <w:szCs w:val="24"/>
        </w:rPr>
        <w:t>е восстанавливается, инвестиционная активность замедляется, приобретение техники сельскохозяйственными предприятиями России будет зависеть от объемов выделяемой финансовой помощи со стороны бюджета. Неопределенность с возможным</w:t>
      </w:r>
      <w:r w:rsidR="00A62E7E">
        <w:rPr>
          <w:rFonts w:asciiTheme="majorHAnsi" w:hAnsiTheme="majorHAnsi"/>
          <w:sz w:val="24"/>
          <w:szCs w:val="24"/>
        </w:rPr>
        <w:t xml:space="preserve"> расширением</w:t>
      </w:r>
      <w:r w:rsidRPr="00A05DC2">
        <w:rPr>
          <w:rFonts w:asciiTheme="majorHAnsi" w:hAnsiTheme="majorHAnsi"/>
          <w:sz w:val="24"/>
          <w:szCs w:val="24"/>
        </w:rPr>
        <w:t xml:space="preserve"> санкций против отдельных компаний и секторов экономики России может ухудшить объемы продаж в России. Вопрос о компенсации утилизационного сбора </w:t>
      </w:r>
      <w:r w:rsidR="00A62E7E">
        <w:rPr>
          <w:rFonts w:asciiTheme="majorHAnsi" w:hAnsiTheme="majorHAnsi"/>
          <w:sz w:val="24"/>
          <w:szCs w:val="24"/>
        </w:rPr>
        <w:t xml:space="preserve">в Беларуси </w:t>
      </w:r>
      <w:r w:rsidRPr="00A05DC2">
        <w:rPr>
          <w:rFonts w:asciiTheme="majorHAnsi" w:hAnsiTheme="majorHAnsi"/>
          <w:sz w:val="24"/>
          <w:szCs w:val="24"/>
        </w:rPr>
        <w:t>не решен. Дополнительное давление на продажи оказывает девальвация российского рубля.</w:t>
      </w:r>
    </w:p>
    <w:p w:rsidR="00A05DC2" w:rsidRPr="00A05DC2" w:rsidRDefault="00A05DC2" w:rsidP="00C11730">
      <w:pPr>
        <w:tabs>
          <w:tab w:val="left" w:pos="10773"/>
        </w:tabs>
        <w:ind w:right="281"/>
        <w:jc w:val="both"/>
        <w:rPr>
          <w:rFonts w:asciiTheme="majorHAnsi" w:hAnsiTheme="majorHAnsi"/>
          <w:sz w:val="24"/>
          <w:szCs w:val="24"/>
        </w:rPr>
      </w:pPr>
      <w:proofErr w:type="gramStart"/>
      <w:r w:rsidRPr="00A62E7E">
        <w:rPr>
          <w:rFonts w:asciiTheme="majorHAnsi" w:hAnsiTheme="majorHAnsi"/>
          <w:b/>
          <w:sz w:val="24"/>
          <w:szCs w:val="24"/>
        </w:rPr>
        <w:lastRenderedPageBreak/>
        <w:t>Сельское хозяйство</w:t>
      </w:r>
      <w:r w:rsidRPr="00A05DC2">
        <w:rPr>
          <w:rFonts w:asciiTheme="majorHAnsi" w:hAnsiTheme="majorHAnsi"/>
          <w:sz w:val="24"/>
          <w:szCs w:val="24"/>
        </w:rPr>
        <w:t xml:space="preserve"> получит очередной значительный объем финансовой помощи, производство сельскохозяйственной продукции не восстановится, за исключением птицеводства, исправить ситуацию попытаются с помощью расширения ранее применявшейся практики присоединения проблемных предприятий к успешным, вне зависимости от формы собственности. </w:t>
      </w:r>
      <w:proofErr w:type="gramEnd"/>
    </w:p>
    <w:p w:rsidR="00A05DC2" w:rsidRPr="00A05DC2" w:rsidRDefault="00A05DC2" w:rsidP="00C11730">
      <w:pPr>
        <w:tabs>
          <w:tab w:val="left" w:pos="10773"/>
        </w:tabs>
        <w:ind w:right="281"/>
        <w:jc w:val="both"/>
        <w:rPr>
          <w:rFonts w:asciiTheme="majorHAnsi" w:hAnsiTheme="majorHAnsi"/>
          <w:sz w:val="24"/>
          <w:szCs w:val="24"/>
        </w:rPr>
      </w:pPr>
      <w:r w:rsidRPr="00A62E7E">
        <w:rPr>
          <w:rFonts w:asciiTheme="majorHAnsi" w:hAnsiTheme="majorHAnsi"/>
          <w:b/>
          <w:sz w:val="24"/>
          <w:szCs w:val="24"/>
        </w:rPr>
        <w:t>По итогам апреля</w:t>
      </w:r>
      <w:r w:rsidRPr="00A05DC2">
        <w:rPr>
          <w:rFonts w:asciiTheme="majorHAnsi" w:hAnsiTheme="majorHAnsi"/>
          <w:sz w:val="24"/>
          <w:szCs w:val="24"/>
        </w:rPr>
        <w:t xml:space="preserve"> ожидается определенное улучшение индексов </w:t>
      </w:r>
      <w:proofErr w:type="spellStart"/>
      <w:r w:rsidRPr="00A05DC2">
        <w:rPr>
          <w:rFonts w:asciiTheme="majorHAnsi" w:hAnsiTheme="majorHAnsi"/>
          <w:sz w:val="24"/>
          <w:szCs w:val="24"/>
        </w:rPr>
        <w:t>промпроизводства</w:t>
      </w:r>
      <w:proofErr w:type="spellEnd"/>
      <w:r w:rsidRPr="00A05DC2">
        <w:rPr>
          <w:rFonts w:asciiTheme="majorHAnsi" w:hAnsiTheme="majorHAnsi"/>
          <w:sz w:val="24"/>
          <w:szCs w:val="24"/>
        </w:rPr>
        <w:t>, в связи с более низкой сравнительной базой соответствующего периода 2013 года в машиностроении и пищевой промышленности. Не исключено превышение индексов промышленного производства показателей 2013 года.</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Сохранилась неопределенность в части переговоров о дальнейшей судьбе Таможенного союза, стороны имеют значительные разногласия по ряду принципиальных вопросов, что может отразиться на взаимном товарообороте. Основной негативный фактор</w:t>
      </w:r>
      <w:r w:rsidR="00A62E7E">
        <w:rPr>
          <w:rFonts w:asciiTheme="majorHAnsi" w:hAnsiTheme="majorHAnsi"/>
          <w:sz w:val="24"/>
          <w:szCs w:val="24"/>
        </w:rPr>
        <w:t xml:space="preserve"> – </w:t>
      </w:r>
      <w:r w:rsidRPr="00A05DC2">
        <w:rPr>
          <w:rFonts w:asciiTheme="majorHAnsi" w:hAnsiTheme="majorHAnsi"/>
          <w:sz w:val="24"/>
          <w:szCs w:val="24"/>
        </w:rPr>
        <w:t>ожидаемая</w:t>
      </w:r>
      <w:r w:rsidR="00A62E7E">
        <w:rPr>
          <w:rFonts w:asciiTheme="majorHAnsi" w:hAnsiTheme="majorHAnsi"/>
          <w:sz w:val="24"/>
          <w:szCs w:val="24"/>
        </w:rPr>
        <w:t xml:space="preserve"> </w:t>
      </w:r>
      <w:r w:rsidRPr="00A05DC2">
        <w:rPr>
          <w:rFonts w:asciiTheme="majorHAnsi" w:hAnsiTheme="majorHAnsi"/>
          <w:sz w:val="24"/>
          <w:szCs w:val="24"/>
        </w:rPr>
        <w:t>рецессия в российской экономике во втором квартале 2014 года.</w:t>
      </w:r>
    </w:p>
    <w:p w:rsidR="008A6662" w:rsidRPr="00A05DC2" w:rsidRDefault="008A6662" w:rsidP="00C11730">
      <w:pPr>
        <w:tabs>
          <w:tab w:val="left" w:pos="10773"/>
        </w:tabs>
        <w:ind w:right="281"/>
        <w:jc w:val="both"/>
        <w:rPr>
          <w:rFonts w:asciiTheme="majorHAnsi" w:hAnsiTheme="majorHAnsi"/>
          <w:sz w:val="24"/>
          <w:szCs w:val="24"/>
        </w:rPr>
      </w:pPr>
    </w:p>
    <w:p w:rsidR="0020170D" w:rsidRPr="00A05DC2" w:rsidRDefault="0020170D" w:rsidP="00C11730">
      <w:pPr>
        <w:tabs>
          <w:tab w:val="left" w:pos="10773"/>
        </w:tabs>
        <w:ind w:right="281"/>
        <w:jc w:val="both"/>
        <w:rPr>
          <w:rFonts w:asciiTheme="majorHAnsi" w:hAnsiTheme="majorHAnsi"/>
          <w:sz w:val="24"/>
          <w:szCs w:val="24"/>
        </w:rPr>
      </w:pPr>
      <w:bookmarkStart w:id="4" w:name="прогноз"/>
      <w:bookmarkEnd w:id="3"/>
      <w:r w:rsidRPr="00A05DC2">
        <w:rPr>
          <w:rFonts w:asciiTheme="majorHAnsi" w:hAnsiTheme="majorHAnsi"/>
          <w:sz w:val="24"/>
          <w:szCs w:val="24"/>
        </w:rPr>
        <w:br w:type="page"/>
      </w:r>
    </w:p>
    <w:p w:rsidR="004F1745" w:rsidRPr="00A93128" w:rsidRDefault="004F1745" w:rsidP="00C11730">
      <w:pPr>
        <w:tabs>
          <w:tab w:val="left" w:pos="10773"/>
        </w:tabs>
        <w:ind w:right="281"/>
        <w:jc w:val="center"/>
        <w:rPr>
          <w:rFonts w:asciiTheme="majorHAnsi" w:hAnsiTheme="majorHAnsi"/>
          <w:b/>
          <w:sz w:val="24"/>
          <w:szCs w:val="24"/>
        </w:rPr>
      </w:pPr>
      <w:r w:rsidRPr="00A93128">
        <w:rPr>
          <w:rFonts w:asciiTheme="majorHAnsi" w:hAnsiTheme="majorHAnsi"/>
          <w:b/>
          <w:sz w:val="24"/>
          <w:szCs w:val="24"/>
        </w:rPr>
        <w:lastRenderedPageBreak/>
        <w:t>КРАТКОСРОЧНЫЙ ПРОГНОЗ</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Итоги </w:t>
      </w:r>
      <w:r w:rsidR="00A93128">
        <w:rPr>
          <w:rFonts w:asciiTheme="majorHAnsi" w:hAnsiTheme="majorHAnsi"/>
          <w:sz w:val="24"/>
          <w:szCs w:val="24"/>
          <w:lang w:val="en-US"/>
        </w:rPr>
        <w:t>I</w:t>
      </w:r>
      <w:r w:rsidRPr="00A05DC2">
        <w:rPr>
          <w:rFonts w:asciiTheme="majorHAnsi" w:hAnsiTheme="majorHAnsi"/>
          <w:sz w:val="24"/>
          <w:szCs w:val="24"/>
        </w:rPr>
        <w:t xml:space="preserve"> квартала, несмотря на рост </w:t>
      </w:r>
      <w:proofErr w:type="gramStart"/>
      <w:r w:rsidRPr="00A05DC2">
        <w:rPr>
          <w:rFonts w:asciiTheme="majorHAnsi" w:hAnsiTheme="majorHAnsi"/>
          <w:sz w:val="24"/>
          <w:szCs w:val="24"/>
        </w:rPr>
        <w:t>ВВП</w:t>
      </w:r>
      <w:proofErr w:type="gramEnd"/>
      <w:r w:rsidRPr="00A05DC2">
        <w:rPr>
          <w:rFonts w:asciiTheme="majorHAnsi" w:hAnsiTheme="majorHAnsi"/>
          <w:sz w:val="24"/>
          <w:szCs w:val="24"/>
        </w:rPr>
        <w:t xml:space="preserve"> относительно аналогичного периода 2013 года, нельзя назвать позитивными. Рост количественных показателей не подтверждается улучшением финансовой картины в экономике. Драйвером роста выступают химическая промышленность и нефтепереработка. Возможности роста нефтепереработки ограничены, в случае возникновения проблем с реализацией калийных удобрений рост экономики может прекратиться. Дальнейший рост количественных показателей возможен по причине уменьшения сравнительной базы 2013 года, качественные показатели не улучшатся</w:t>
      </w:r>
      <w:r w:rsidR="00A93128">
        <w:rPr>
          <w:rFonts w:asciiTheme="majorHAnsi" w:hAnsiTheme="majorHAnsi"/>
          <w:sz w:val="24"/>
          <w:szCs w:val="24"/>
        </w:rPr>
        <w:t>.</w:t>
      </w:r>
      <w:r w:rsidRPr="00A05DC2">
        <w:rPr>
          <w:rFonts w:asciiTheme="majorHAnsi" w:hAnsiTheme="majorHAnsi"/>
          <w:sz w:val="24"/>
          <w:szCs w:val="24"/>
        </w:rPr>
        <w:t xml:space="preserve">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Банковская система продолжит движение </w:t>
      </w:r>
      <w:proofErr w:type="gramStart"/>
      <w:r w:rsidRPr="00A05DC2">
        <w:rPr>
          <w:rFonts w:asciiTheme="majorHAnsi" w:hAnsiTheme="majorHAnsi"/>
          <w:sz w:val="24"/>
          <w:szCs w:val="24"/>
        </w:rPr>
        <w:t>по пути дальнейшего снижения стоимости заимствований на внутреннем рынке по причине ограничения ставок по кредитам для юридических лиц</w:t>
      </w:r>
      <w:proofErr w:type="gramEnd"/>
      <w:r w:rsidRPr="00A05DC2">
        <w:rPr>
          <w:rFonts w:asciiTheme="majorHAnsi" w:hAnsiTheme="majorHAnsi"/>
          <w:sz w:val="24"/>
          <w:szCs w:val="24"/>
        </w:rPr>
        <w:t xml:space="preserve">. Резкое снижение ставок может спровоцировать существенный отток депозитов </w:t>
      </w:r>
      <w:r w:rsidR="00A93128">
        <w:rPr>
          <w:rFonts w:asciiTheme="majorHAnsi" w:hAnsiTheme="majorHAnsi"/>
          <w:sz w:val="24"/>
          <w:szCs w:val="24"/>
        </w:rPr>
        <w:t>населения в национальной валюте.</w:t>
      </w:r>
      <w:r w:rsidRPr="00A05DC2">
        <w:rPr>
          <w:rFonts w:asciiTheme="majorHAnsi" w:hAnsiTheme="majorHAnsi"/>
          <w:sz w:val="24"/>
          <w:szCs w:val="24"/>
        </w:rPr>
        <w:t xml:space="preserve"> С учетом новых ограничений в виде обязательного предоставления справок о доходах при выдаче  потребительских кредитов для населения, потребность в дорогих рублевых депозитах снизится, ожидается дальнейшее плавное в пределах 1-3% уменьшение ставок по депозитам.</w:t>
      </w:r>
      <w:r w:rsidR="00A93128" w:rsidRPr="00A93128">
        <w:rPr>
          <w:rFonts w:asciiTheme="majorHAnsi" w:hAnsiTheme="majorHAnsi"/>
          <w:sz w:val="24"/>
          <w:szCs w:val="24"/>
        </w:rPr>
        <w:t xml:space="preserve"> </w:t>
      </w:r>
      <w:r w:rsidR="00557E36">
        <w:rPr>
          <w:rFonts w:asciiTheme="majorHAnsi" w:hAnsiTheme="majorHAnsi"/>
          <w:sz w:val="24"/>
          <w:szCs w:val="24"/>
        </w:rPr>
        <w:t xml:space="preserve">В случае поступления анонсированного кредита России в размере </w:t>
      </w:r>
      <w:r w:rsidR="00557E36">
        <w:rPr>
          <w:rFonts w:asciiTheme="majorHAnsi" w:hAnsiTheme="majorHAnsi"/>
          <w:sz w:val="24"/>
          <w:szCs w:val="24"/>
          <w:lang w:val="en-US"/>
        </w:rPr>
        <w:t>USD</w:t>
      </w:r>
      <w:r w:rsidR="00557E36" w:rsidRPr="00557E36">
        <w:rPr>
          <w:rFonts w:asciiTheme="majorHAnsi" w:hAnsiTheme="majorHAnsi"/>
          <w:sz w:val="24"/>
          <w:szCs w:val="24"/>
        </w:rPr>
        <w:t xml:space="preserve"> </w:t>
      </w:r>
      <w:r w:rsidR="00557E36">
        <w:rPr>
          <w:rFonts w:asciiTheme="majorHAnsi" w:hAnsiTheme="majorHAnsi"/>
          <w:sz w:val="24"/>
          <w:szCs w:val="24"/>
        </w:rPr>
        <w:t xml:space="preserve">2 </w:t>
      </w:r>
      <w:proofErr w:type="spellStart"/>
      <w:proofErr w:type="gramStart"/>
      <w:r w:rsidR="00557E36">
        <w:rPr>
          <w:rFonts w:asciiTheme="majorHAnsi" w:hAnsiTheme="majorHAnsi"/>
          <w:sz w:val="24"/>
          <w:szCs w:val="24"/>
        </w:rPr>
        <w:t>млрд</w:t>
      </w:r>
      <w:proofErr w:type="spellEnd"/>
      <w:proofErr w:type="gramEnd"/>
      <w:r w:rsidR="00557E36">
        <w:rPr>
          <w:rFonts w:asciiTheme="majorHAnsi" w:hAnsiTheme="majorHAnsi"/>
          <w:sz w:val="24"/>
          <w:szCs w:val="24"/>
        </w:rPr>
        <w:t xml:space="preserve"> до конца Чемпионата мира по хоккею в Минске девальвационные ожидания на несколько месяцев значительно ослабнут, возможно возвращение прироста объема рублевых вкладов</w:t>
      </w:r>
      <w:r w:rsidR="00A93128" w:rsidRPr="00A05DC2">
        <w:rPr>
          <w:rFonts w:asciiTheme="majorHAnsi" w:hAnsiTheme="majorHAnsi"/>
          <w:sz w:val="24"/>
          <w:szCs w:val="24"/>
        </w:rPr>
        <w:t>.</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Поддержка промышленности в части льготных кредитов и программ по сокращению складских запасов сохранится, дифференциация в части условий кредитования для частного и государственного сектора оказывает существенное влияние на реальное положение дел в различных секторах экономики.</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Наиболее пристальное внимание будет уделено работе торговых сетей в период проведения чемпионата мира по хоккею, возможны негласные ограничения наценок, увеличение числа акций в Минске, выездная торговля.</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Строительная сфера может быть подвергнута повторной ревизии деятельности по итогам первого полугодия 2014 года. Итоги выполнения задания по окончанию объектов долевого строительства со сверхнормативными сроками строительства могут привести к определенным кадровым ротациям.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Сельское хозяйство подвергнется проверке финансово-хозяйственной деятельности. Ожидается представление новой концепции развития сельского хозяйства до 2020 года. Не исключен возврат к практике присоединения убыточных предприятий к успешным частным предприятиям.</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Ключевые индикаторы для дальнейшего развития экономической ситуации в Беларуси.</w:t>
      </w:r>
    </w:p>
    <w:p w:rsidR="00557E36"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1. </w:t>
      </w:r>
      <w:r w:rsidR="00557E36">
        <w:rPr>
          <w:rFonts w:asciiTheme="majorHAnsi" w:hAnsiTheme="majorHAnsi"/>
          <w:sz w:val="24"/>
          <w:szCs w:val="24"/>
        </w:rPr>
        <w:t>Условия</w:t>
      </w:r>
      <w:r w:rsidRPr="00A05DC2">
        <w:rPr>
          <w:rFonts w:asciiTheme="majorHAnsi" w:hAnsiTheme="majorHAnsi"/>
          <w:sz w:val="24"/>
          <w:szCs w:val="24"/>
        </w:rPr>
        <w:t xml:space="preserve"> подписания соглашения о ЕЭ</w:t>
      </w:r>
      <w:r w:rsidR="00557E36">
        <w:rPr>
          <w:rFonts w:asciiTheme="majorHAnsi" w:hAnsiTheme="majorHAnsi"/>
          <w:sz w:val="24"/>
          <w:szCs w:val="24"/>
        </w:rPr>
        <w:t>С</w:t>
      </w:r>
      <w:r w:rsidRPr="00A05DC2">
        <w:rPr>
          <w:rFonts w:asciiTheme="majorHAnsi" w:hAnsiTheme="majorHAnsi"/>
          <w:sz w:val="24"/>
          <w:szCs w:val="24"/>
        </w:rPr>
        <w:t xml:space="preserve">. Стороны </w:t>
      </w:r>
      <w:r w:rsidR="00557E36">
        <w:rPr>
          <w:rFonts w:asciiTheme="majorHAnsi" w:hAnsiTheme="majorHAnsi"/>
          <w:sz w:val="24"/>
          <w:szCs w:val="24"/>
        </w:rPr>
        <w:t xml:space="preserve">остаются при своих позициях относительно условий функционирования Евразийского экономического союза. Возможны некоторые половинчатые уступки со стороны России – анонсировано снижение объема перечисляемых в российский бюджет экспортных пошлин на нефтепродукты с 2015 года. Однако только окончательно согласованные условия подписанного документа могут дать четкое представление о плюсах либо минусах для белорусской экономики. </w:t>
      </w:r>
    </w:p>
    <w:p w:rsidR="00A05DC2" w:rsidRPr="00A05DC2"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2. Масштабы возможных санкций в отношении России. Не исключены ограничительные меры финансового и технологического характера в отношении ряда секторов России, что может </w:t>
      </w:r>
      <w:r w:rsidRPr="00A05DC2">
        <w:rPr>
          <w:rFonts w:asciiTheme="majorHAnsi" w:hAnsiTheme="majorHAnsi"/>
          <w:sz w:val="24"/>
          <w:szCs w:val="24"/>
        </w:rPr>
        <w:lastRenderedPageBreak/>
        <w:t>привести к осложнению в системе расчетов с российскими контрагентами, возможно снижение емкости отдельных товарных рынков, снижение объемов поддержки различным секторам экономики, дальнейшее ослабление курса российского рубля, прямо влияющее на объемы валютной выручки белорусских экспортеров.</w:t>
      </w:r>
    </w:p>
    <w:p w:rsidR="00557E36" w:rsidRDefault="00A05DC2" w:rsidP="00C11730">
      <w:pPr>
        <w:tabs>
          <w:tab w:val="left" w:pos="10773"/>
        </w:tabs>
        <w:ind w:right="281"/>
        <w:jc w:val="both"/>
        <w:rPr>
          <w:rFonts w:asciiTheme="majorHAnsi" w:hAnsiTheme="majorHAnsi"/>
          <w:sz w:val="24"/>
          <w:szCs w:val="24"/>
        </w:rPr>
      </w:pPr>
      <w:r w:rsidRPr="00A05DC2">
        <w:rPr>
          <w:rFonts w:asciiTheme="majorHAnsi" w:hAnsiTheme="majorHAnsi"/>
          <w:sz w:val="24"/>
          <w:szCs w:val="24"/>
        </w:rPr>
        <w:t xml:space="preserve">3. Кредитная и курсовая политика </w:t>
      </w:r>
      <w:proofErr w:type="spellStart"/>
      <w:r w:rsidRPr="00A05DC2">
        <w:rPr>
          <w:rFonts w:asciiTheme="majorHAnsi" w:hAnsiTheme="majorHAnsi"/>
          <w:sz w:val="24"/>
          <w:szCs w:val="24"/>
        </w:rPr>
        <w:t>Нацбанка</w:t>
      </w:r>
      <w:proofErr w:type="spellEnd"/>
      <w:r w:rsidRPr="00A05DC2">
        <w:rPr>
          <w:rFonts w:asciiTheme="majorHAnsi" w:hAnsiTheme="majorHAnsi"/>
          <w:sz w:val="24"/>
          <w:szCs w:val="24"/>
        </w:rPr>
        <w:t xml:space="preserve">. </w:t>
      </w:r>
      <w:r w:rsidR="00444602">
        <w:rPr>
          <w:rFonts w:asciiTheme="majorHAnsi" w:hAnsiTheme="majorHAnsi"/>
          <w:sz w:val="24"/>
          <w:szCs w:val="24"/>
        </w:rPr>
        <w:t xml:space="preserve">Поступление российского кредита позволит </w:t>
      </w:r>
      <w:proofErr w:type="spellStart"/>
      <w:r w:rsidR="00444602">
        <w:rPr>
          <w:rFonts w:asciiTheme="majorHAnsi" w:hAnsiTheme="majorHAnsi"/>
          <w:sz w:val="24"/>
          <w:szCs w:val="24"/>
        </w:rPr>
        <w:t>Нацбанку</w:t>
      </w:r>
      <w:proofErr w:type="spellEnd"/>
      <w:r w:rsidR="00444602">
        <w:rPr>
          <w:rFonts w:asciiTheme="majorHAnsi" w:hAnsiTheme="majorHAnsi"/>
          <w:sz w:val="24"/>
          <w:szCs w:val="24"/>
        </w:rPr>
        <w:t xml:space="preserve"> сохранить прежнюю курсовую политику, основанную на плавном ослаблении белорусского рубля. Если это будет способствовать возвращению прироста рублевых депозитов, банки смогут более смело снижать процентные ставки по вкладам, создавая достаточный объем пассивной базы для кредитования, прежде всего, корпоративного сектора по более низким ставкам. Вместе с тем, административное снижение ставок для юридических лиц может увеличить спрос на кредиты от неэффективных </w:t>
      </w:r>
      <w:proofErr w:type="spellStart"/>
      <w:r w:rsidR="00444602">
        <w:rPr>
          <w:rFonts w:asciiTheme="majorHAnsi" w:hAnsiTheme="majorHAnsi"/>
          <w:sz w:val="24"/>
          <w:szCs w:val="24"/>
        </w:rPr>
        <w:t>заемщимков</w:t>
      </w:r>
      <w:proofErr w:type="spellEnd"/>
      <w:r w:rsidR="00444602">
        <w:rPr>
          <w:rFonts w:asciiTheme="majorHAnsi" w:hAnsiTheme="majorHAnsi"/>
          <w:sz w:val="24"/>
          <w:szCs w:val="24"/>
        </w:rPr>
        <w:t>, что приведет к приросту требований банков к экономике, ухудшению качества кредитного портфеля и роста проблемной задолженности. Ограничение потребительского кредитования негативно повлияет на банки, специализирующиеся на данных услугах, а также значительно снизит оборот в розничных сетях как импортных, так и белорусских товаров.</w:t>
      </w:r>
    </w:p>
    <w:p w:rsidR="00557E36" w:rsidRDefault="00557E36" w:rsidP="00C11730">
      <w:pPr>
        <w:tabs>
          <w:tab w:val="left" w:pos="10773"/>
        </w:tabs>
        <w:ind w:right="281"/>
        <w:jc w:val="both"/>
        <w:rPr>
          <w:rFonts w:asciiTheme="majorHAnsi" w:hAnsiTheme="majorHAnsi"/>
          <w:sz w:val="24"/>
          <w:szCs w:val="24"/>
        </w:rPr>
      </w:pPr>
    </w:p>
    <w:p w:rsidR="00557E36" w:rsidRDefault="00557E36" w:rsidP="00C11730">
      <w:pPr>
        <w:tabs>
          <w:tab w:val="left" w:pos="10773"/>
        </w:tabs>
        <w:ind w:right="281"/>
        <w:jc w:val="both"/>
        <w:rPr>
          <w:rFonts w:asciiTheme="majorHAnsi" w:hAnsiTheme="majorHAnsi"/>
          <w:sz w:val="24"/>
          <w:szCs w:val="24"/>
        </w:rPr>
      </w:pPr>
    </w:p>
    <w:p w:rsidR="008A6662" w:rsidRPr="00A05DC2" w:rsidRDefault="008A6662" w:rsidP="00C11730">
      <w:pPr>
        <w:pStyle w:val="11"/>
        <w:tabs>
          <w:tab w:val="left" w:pos="10773"/>
        </w:tabs>
        <w:ind w:right="281" w:firstLine="709"/>
        <w:rPr>
          <w:rFonts w:asciiTheme="majorHAnsi" w:hAnsiTheme="majorHAnsi"/>
          <w:szCs w:val="24"/>
        </w:rPr>
      </w:pPr>
    </w:p>
    <w:bookmarkEnd w:id="4"/>
    <w:p w:rsidR="001A21C4" w:rsidRPr="00A05DC2" w:rsidRDefault="001A21C4" w:rsidP="00C11730">
      <w:pPr>
        <w:pStyle w:val="11"/>
        <w:tabs>
          <w:tab w:val="left" w:pos="10773"/>
        </w:tabs>
        <w:ind w:right="281" w:firstLine="709"/>
        <w:rPr>
          <w:rFonts w:asciiTheme="majorHAnsi" w:hAnsiTheme="majorHAnsi"/>
          <w:szCs w:val="24"/>
        </w:rPr>
      </w:pPr>
    </w:p>
    <w:p w:rsidR="007F773A" w:rsidRPr="008A6662" w:rsidRDefault="007F773A" w:rsidP="00C11730">
      <w:pPr>
        <w:tabs>
          <w:tab w:val="left" w:pos="10773"/>
        </w:tabs>
        <w:jc w:val="both"/>
        <w:rPr>
          <w:rFonts w:asciiTheme="majorHAnsi" w:hAnsiTheme="majorHAnsi"/>
          <w:sz w:val="24"/>
          <w:szCs w:val="24"/>
        </w:rPr>
        <w:sectPr w:rsidR="007F773A" w:rsidRPr="008A6662" w:rsidSect="007F773A">
          <w:footerReference w:type="default" r:id="rId9"/>
          <w:headerReference w:type="first" r:id="rId10"/>
          <w:pgSz w:w="11906" w:h="16838"/>
          <w:pgMar w:top="567" w:right="284" w:bottom="567" w:left="851" w:header="703" w:footer="448" w:gutter="0"/>
          <w:cols w:space="708"/>
          <w:titlePg/>
          <w:docGrid w:linePitch="360"/>
        </w:sectPr>
      </w:pPr>
    </w:p>
    <w:p w:rsidR="00961F93" w:rsidRPr="001A21C4" w:rsidRDefault="00961F93" w:rsidP="00C11730">
      <w:pPr>
        <w:tabs>
          <w:tab w:val="left" w:pos="10773"/>
        </w:tabs>
        <w:ind w:left="567" w:firstLine="426"/>
        <w:jc w:val="center"/>
        <w:rPr>
          <w:rFonts w:asciiTheme="majorHAnsi" w:hAnsiTheme="majorHAnsi"/>
          <w:b/>
          <w:sz w:val="28"/>
          <w:szCs w:val="28"/>
        </w:rPr>
      </w:pPr>
      <w:bookmarkStart w:id="5" w:name="приложение"/>
      <w:r w:rsidRPr="001A21C4">
        <w:rPr>
          <w:rFonts w:asciiTheme="majorHAnsi" w:hAnsiTheme="majorHAnsi"/>
          <w:b/>
          <w:sz w:val="28"/>
          <w:szCs w:val="28"/>
        </w:rPr>
        <w:lastRenderedPageBreak/>
        <w:t>ПРИЛОЖЕНИЕ</w:t>
      </w:r>
    </w:p>
    <w:bookmarkEnd w:id="5"/>
    <w:p w:rsidR="00514D90" w:rsidRPr="007B6012" w:rsidRDefault="00961F93" w:rsidP="00C11730">
      <w:pPr>
        <w:tabs>
          <w:tab w:val="left" w:pos="10773"/>
        </w:tabs>
        <w:ind w:left="567" w:firstLine="426"/>
        <w:jc w:val="center"/>
        <w:rPr>
          <w:rFonts w:asciiTheme="majorHAnsi" w:hAnsiTheme="majorHAnsi"/>
          <w:sz w:val="24"/>
          <w:szCs w:val="24"/>
        </w:rPr>
      </w:pPr>
      <w:r w:rsidRPr="001A21C4">
        <w:rPr>
          <w:rFonts w:asciiTheme="majorHAnsi" w:hAnsiTheme="majorHAnsi"/>
          <w:b/>
          <w:sz w:val="24"/>
          <w:szCs w:val="24"/>
        </w:rPr>
        <w:t>МАКРОЭКОНОМИКА. ТАБЛИЦЫ</w:t>
      </w:r>
    </w:p>
    <w:tbl>
      <w:tblPr>
        <w:tblW w:w="14672" w:type="dxa"/>
        <w:jc w:val="center"/>
        <w:tblInd w:w="93" w:type="dxa"/>
        <w:tblLook w:val="04A0"/>
      </w:tblPr>
      <w:tblGrid>
        <w:gridCol w:w="9167"/>
        <w:gridCol w:w="1263"/>
        <w:gridCol w:w="1263"/>
        <w:gridCol w:w="1522"/>
        <w:gridCol w:w="1457"/>
      </w:tblGrid>
      <w:tr w:rsidR="007D3C3D" w:rsidRPr="007D3C3D" w:rsidTr="007D3C3D">
        <w:trPr>
          <w:trHeight w:val="330"/>
          <w:jc w:val="center"/>
        </w:trPr>
        <w:tc>
          <w:tcPr>
            <w:tcW w:w="14672" w:type="dxa"/>
            <w:gridSpan w:val="5"/>
            <w:tcBorders>
              <w:top w:val="single" w:sz="8" w:space="0" w:color="auto"/>
              <w:left w:val="single" w:sz="8" w:space="0" w:color="auto"/>
              <w:bottom w:val="nil"/>
              <w:right w:val="single" w:sz="8" w:space="0" w:color="000000"/>
            </w:tcBorders>
            <w:shd w:val="clear" w:color="auto" w:fill="auto"/>
            <w:noWrap/>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b/>
                <w:sz w:val="24"/>
                <w:szCs w:val="24"/>
                <w:lang w:eastAsia="ru-RU"/>
              </w:rPr>
            </w:pPr>
            <w:r w:rsidRPr="007D3C3D">
              <w:rPr>
                <w:rFonts w:ascii="Cambria" w:eastAsia="Times New Roman" w:hAnsi="Cambria" w:cs="Arial"/>
                <w:b/>
                <w:sz w:val="24"/>
                <w:szCs w:val="24"/>
                <w:lang w:eastAsia="ru-RU"/>
              </w:rPr>
              <w:t>Основные макроэкономические индикаторы</w:t>
            </w:r>
          </w:p>
        </w:tc>
      </w:tr>
      <w:tr w:rsidR="007D3C3D" w:rsidRPr="007D3C3D" w:rsidTr="007D3C3D">
        <w:trPr>
          <w:trHeight w:val="330"/>
          <w:jc w:val="center"/>
        </w:trPr>
        <w:tc>
          <w:tcPr>
            <w:tcW w:w="91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b/>
                <w:sz w:val="24"/>
                <w:szCs w:val="24"/>
                <w:lang w:eastAsia="ru-RU"/>
              </w:rPr>
            </w:pPr>
            <w:r w:rsidRPr="007D3C3D">
              <w:rPr>
                <w:rFonts w:ascii="Cambria" w:eastAsia="Times New Roman" w:hAnsi="Cambria" w:cs="Arial"/>
                <w:b/>
                <w:sz w:val="24"/>
                <w:szCs w:val="24"/>
                <w:lang w:eastAsia="ru-RU"/>
              </w:rPr>
              <w:t>Наименование показателя</w:t>
            </w:r>
          </w:p>
        </w:tc>
        <w:tc>
          <w:tcPr>
            <w:tcW w:w="1263" w:type="dxa"/>
            <w:tcBorders>
              <w:top w:val="single" w:sz="8" w:space="0" w:color="auto"/>
              <w:left w:val="nil"/>
              <w:bottom w:val="single" w:sz="8" w:space="0" w:color="auto"/>
              <w:right w:val="nil"/>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b/>
                <w:sz w:val="24"/>
                <w:szCs w:val="24"/>
                <w:lang w:eastAsia="ru-RU"/>
              </w:rPr>
            </w:pPr>
            <w:r w:rsidRPr="007D3C3D">
              <w:rPr>
                <w:rFonts w:ascii="Cambria" w:eastAsia="Times New Roman" w:hAnsi="Cambria" w:cs="Arial"/>
                <w:b/>
                <w:sz w:val="24"/>
                <w:szCs w:val="24"/>
                <w:lang w:eastAsia="ru-RU"/>
              </w:rPr>
              <w:t>мар.13</w:t>
            </w:r>
          </w:p>
        </w:tc>
        <w:tc>
          <w:tcPr>
            <w:tcW w:w="1263" w:type="dxa"/>
            <w:tcBorders>
              <w:top w:val="single" w:sz="8" w:space="0" w:color="auto"/>
              <w:left w:val="single" w:sz="8" w:space="0" w:color="auto"/>
              <w:bottom w:val="single" w:sz="8" w:space="0" w:color="auto"/>
              <w:right w:val="nil"/>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b/>
                <w:sz w:val="24"/>
                <w:szCs w:val="24"/>
                <w:lang w:eastAsia="ru-RU"/>
              </w:rPr>
            </w:pPr>
            <w:r w:rsidRPr="007D3C3D">
              <w:rPr>
                <w:rFonts w:ascii="Cambria" w:eastAsia="Times New Roman" w:hAnsi="Cambria" w:cs="Arial"/>
                <w:b/>
                <w:sz w:val="24"/>
                <w:szCs w:val="24"/>
                <w:lang w:eastAsia="ru-RU"/>
              </w:rPr>
              <w:t>мар.14</w:t>
            </w:r>
          </w:p>
        </w:tc>
        <w:tc>
          <w:tcPr>
            <w:tcW w:w="1522" w:type="dxa"/>
            <w:tcBorders>
              <w:top w:val="single" w:sz="8" w:space="0" w:color="auto"/>
              <w:left w:val="nil"/>
              <w:bottom w:val="single" w:sz="8" w:space="0" w:color="auto"/>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b/>
                <w:sz w:val="24"/>
                <w:szCs w:val="24"/>
                <w:lang w:eastAsia="ru-RU"/>
              </w:rPr>
            </w:pPr>
            <w:r w:rsidRPr="007D3C3D">
              <w:rPr>
                <w:rFonts w:ascii="Cambria" w:eastAsia="Times New Roman" w:hAnsi="Cambria" w:cs="Arial"/>
                <w:b/>
                <w:sz w:val="24"/>
                <w:szCs w:val="24"/>
                <w:lang w:eastAsia="ru-RU"/>
              </w:rPr>
              <w:t>январь-февраль 2014</w:t>
            </w:r>
          </w:p>
        </w:tc>
        <w:tc>
          <w:tcPr>
            <w:tcW w:w="1457" w:type="dxa"/>
            <w:tcBorders>
              <w:top w:val="single" w:sz="8" w:space="0" w:color="auto"/>
              <w:left w:val="nil"/>
              <w:bottom w:val="single" w:sz="8" w:space="0" w:color="auto"/>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b/>
                <w:sz w:val="24"/>
                <w:szCs w:val="24"/>
                <w:lang w:eastAsia="ru-RU"/>
              </w:rPr>
            </w:pPr>
            <w:r w:rsidRPr="007D3C3D">
              <w:rPr>
                <w:rFonts w:ascii="Cambria" w:eastAsia="Times New Roman" w:hAnsi="Cambria" w:cs="Arial"/>
                <w:b/>
                <w:sz w:val="24"/>
                <w:szCs w:val="24"/>
                <w:lang w:eastAsia="ru-RU"/>
              </w:rPr>
              <w:t>январь-март 2014</w:t>
            </w:r>
          </w:p>
        </w:tc>
      </w:tr>
      <w:tr w:rsidR="007D3C3D" w:rsidRPr="007D3C3D" w:rsidTr="007D3C3D">
        <w:trPr>
          <w:trHeight w:val="641"/>
          <w:jc w:val="center"/>
        </w:trPr>
        <w:tc>
          <w:tcPr>
            <w:tcW w:w="9167" w:type="dxa"/>
            <w:tcBorders>
              <w:top w:val="nil"/>
              <w:left w:val="single" w:sz="8" w:space="0" w:color="auto"/>
              <w:bottom w:val="nil"/>
              <w:right w:val="single" w:sz="8" w:space="0" w:color="auto"/>
            </w:tcBorders>
            <w:shd w:val="clear" w:color="auto" w:fill="auto"/>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xml:space="preserve">1. Валовой внутренний продукт, </w:t>
            </w:r>
            <w:proofErr w:type="gramStart"/>
            <w:r w:rsidRPr="007D3C3D">
              <w:rPr>
                <w:rFonts w:ascii="Cambria" w:eastAsia="Times New Roman" w:hAnsi="Cambria" w:cs="Arial"/>
                <w:sz w:val="24"/>
                <w:szCs w:val="24"/>
                <w:lang w:eastAsia="ru-RU"/>
              </w:rPr>
              <w:t>в</w:t>
            </w:r>
            <w:proofErr w:type="gramEnd"/>
            <w:r w:rsidRPr="007D3C3D">
              <w:rPr>
                <w:rFonts w:ascii="Cambria" w:eastAsia="Times New Roman" w:hAnsi="Cambria" w:cs="Arial"/>
                <w:sz w:val="24"/>
                <w:szCs w:val="24"/>
                <w:lang w:eastAsia="ru-RU"/>
              </w:rPr>
              <w:t xml:space="preserve"> % к соответствующему периоду предыдущего года</w:t>
            </w:r>
          </w:p>
        </w:tc>
        <w:tc>
          <w:tcPr>
            <w:tcW w:w="1263" w:type="dxa"/>
            <w:tcBorders>
              <w:top w:val="nil"/>
              <w:left w:val="nil"/>
              <w:bottom w:val="nil"/>
              <w:right w:val="nil"/>
            </w:tcBorders>
            <w:shd w:val="clear" w:color="auto" w:fill="auto"/>
            <w:noWrap/>
            <w:hideMark/>
          </w:tcPr>
          <w:p w:rsidR="007D3C3D" w:rsidRPr="007D3C3D" w:rsidRDefault="007D3C3D" w:rsidP="00C11730">
            <w:pPr>
              <w:tabs>
                <w:tab w:val="left" w:pos="10773"/>
              </w:tabs>
              <w:spacing w:after="0" w:line="240" w:lineRule="auto"/>
              <w:contextualSpacing/>
              <w:rPr>
                <w:rFonts w:ascii="Arial" w:eastAsia="Times New Roman" w:hAnsi="Arial" w:cs="Arial"/>
                <w:sz w:val="20"/>
                <w:szCs w:val="20"/>
                <w:lang w:eastAsia="ru-RU"/>
              </w:rPr>
            </w:pPr>
          </w:p>
        </w:tc>
        <w:tc>
          <w:tcPr>
            <w:tcW w:w="1263" w:type="dxa"/>
            <w:tcBorders>
              <w:top w:val="nil"/>
              <w:left w:val="single" w:sz="8" w:space="0" w:color="auto"/>
              <w:bottom w:val="nil"/>
              <w:right w:val="nil"/>
            </w:tcBorders>
            <w:shd w:val="clear" w:color="auto" w:fill="auto"/>
            <w:noWrap/>
            <w:hideMark/>
          </w:tcPr>
          <w:p w:rsidR="007D3C3D" w:rsidRPr="007D3C3D" w:rsidRDefault="007D3C3D" w:rsidP="00C11730">
            <w:pPr>
              <w:tabs>
                <w:tab w:val="left" w:pos="10773"/>
              </w:tabs>
              <w:spacing w:after="0" w:line="240" w:lineRule="auto"/>
              <w:contextualSpacing/>
              <w:rPr>
                <w:rFonts w:ascii="Arial" w:eastAsia="Times New Roman" w:hAnsi="Arial" w:cs="Arial"/>
                <w:sz w:val="20"/>
                <w:szCs w:val="20"/>
                <w:lang w:eastAsia="ru-RU"/>
              </w:rPr>
            </w:pPr>
            <w:r w:rsidRPr="007D3C3D">
              <w:rPr>
                <w:rFonts w:ascii="Arial" w:eastAsia="Times New Roman" w:hAnsi="Arial" w:cs="Arial"/>
                <w:sz w:val="20"/>
                <w:szCs w:val="20"/>
                <w:lang w:eastAsia="ru-RU"/>
              </w:rPr>
              <w:t> </w:t>
            </w:r>
          </w:p>
        </w:tc>
        <w:tc>
          <w:tcPr>
            <w:tcW w:w="1522" w:type="dxa"/>
            <w:tcBorders>
              <w:top w:val="nil"/>
              <w:left w:val="single" w:sz="8" w:space="0" w:color="auto"/>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98,4</w:t>
            </w:r>
          </w:p>
        </w:tc>
        <w:tc>
          <w:tcPr>
            <w:tcW w:w="1457"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100,5</w:t>
            </w:r>
          </w:p>
        </w:tc>
      </w:tr>
      <w:tr w:rsidR="007D3C3D" w:rsidRPr="007D3C3D" w:rsidTr="007D3C3D">
        <w:trPr>
          <w:trHeight w:val="551"/>
          <w:jc w:val="center"/>
        </w:trPr>
        <w:tc>
          <w:tcPr>
            <w:tcW w:w="9167" w:type="dxa"/>
            <w:tcBorders>
              <w:top w:val="single" w:sz="8" w:space="0" w:color="auto"/>
              <w:left w:val="single" w:sz="8" w:space="0" w:color="auto"/>
              <w:bottom w:val="single" w:sz="8" w:space="0" w:color="auto"/>
              <w:right w:val="single" w:sz="8" w:space="0" w:color="auto"/>
            </w:tcBorders>
            <w:shd w:val="clear" w:color="000000" w:fill="F2F2F2"/>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2. Объем промышленного производства, млрд. BYR (в текущих ценах)</w:t>
            </w:r>
          </w:p>
        </w:tc>
        <w:tc>
          <w:tcPr>
            <w:tcW w:w="1263" w:type="dxa"/>
            <w:tcBorders>
              <w:top w:val="single" w:sz="8" w:space="0" w:color="auto"/>
              <w:left w:val="nil"/>
              <w:bottom w:val="single" w:sz="8" w:space="0" w:color="auto"/>
              <w:right w:val="nil"/>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51 728,2</w:t>
            </w:r>
          </w:p>
        </w:tc>
        <w:tc>
          <w:tcPr>
            <w:tcW w:w="1263"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57 876,2</w:t>
            </w:r>
          </w:p>
        </w:tc>
        <w:tc>
          <w:tcPr>
            <w:tcW w:w="1522" w:type="dxa"/>
            <w:tcBorders>
              <w:top w:val="single" w:sz="8" w:space="0" w:color="auto"/>
              <w:left w:val="nil"/>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52 343,3</w:t>
            </w:r>
          </w:p>
        </w:tc>
        <w:tc>
          <w:tcPr>
            <w:tcW w:w="1457" w:type="dxa"/>
            <w:tcBorders>
              <w:top w:val="single" w:sz="8" w:space="0" w:color="auto"/>
              <w:left w:val="nil"/>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103 621,0</w:t>
            </w:r>
          </w:p>
        </w:tc>
      </w:tr>
      <w:tr w:rsidR="007D3C3D" w:rsidRPr="007D3C3D" w:rsidTr="007D3C3D">
        <w:trPr>
          <w:trHeight w:val="687"/>
          <w:jc w:val="center"/>
        </w:trPr>
        <w:tc>
          <w:tcPr>
            <w:tcW w:w="9167" w:type="dxa"/>
            <w:tcBorders>
              <w:top w:val="nil"/>
              <w:left w:val="single" w:sz="8" w:space="0" w:color="auto"/>
              <w:bottom w:val="nil"/>
              <w:right w:val="single" w:sz="8" w:space="0" w:color="auto"/>
            </w:tcBorders>
            <w:shd w:val="clear" w:color="auto" w:fill="auto"/>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xml:space="preserve">3. Индекс промышленного производства, </w:t>
            </w:r>
            <w:proofErr w:type="gramStart"/>
            <w:r w:rsidRPr="007D3C3D">
              <w:rPr>
                <w:rFonts w:ascii="Cambria" w:eastAsia="Times New Roman" w:hAnsi="Cambria" w:cs="Arial"/>
                <w:sz w:val="24"/>
                <w:szCs w:val="24"/>
                <w:lang w:eastAsia="ru-RU"/>
              </w:rPr>
              <w:t>в</w:t>
            </w:r>
            <w:proofErr w:type="gramEnd"/>
            <w:r w:rsidRPr="007D3C3D">
              <w:rPr>
                <w:rFonts w:ascii="Cambria" w:eastAsia="Times New Roman" w:hAnsi="Cambria" w:cs="Arial"/>
                <w:sz w:val="24"/>
                <w:szCs w:val="24"/>
                <w:lang w:eastAsia="ru-RU"/>
              </w:rPr>
              <w:t xml:space="preserve"> % к соответствующему периоду предыдущего года</w:t>
            </w:r>
          </w:p>
        </w:tc>
        <w:tc>
          <w:tcPr>
            <w:tcW w:w="1263"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97,5</w:t>
            </w:r>
          </w:p>
        </w:tc>
        <w:tc>
          <w:tcPr>
            <w:tcW w:w="1263"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100,7</w:t>
            </w:r>
          </w:p>
        </w:tc>
        <w:tc>
          <w:tcPr>
            <w:tcW w:w="1522"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94,5</w:t>
            </w:r>
          </w:p>
        </w:tc>
        <w:tc>
          <w:tcPr>
            <w:tcW w:w="1457"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96,6</w:t>
            </w:r>
          </w:p>
        </w:tc>
      </w:tr>
      <w:tr w:rsidR="007D3C3D" w:rsidRPr="007D3C3D" w:rsidTr="007D3C3D">
        <w:trPr>
          <w:trHeight w:val="697"/>
          <w:jc w:val="center"/>
        </w:trPr>
        <w:tc>
          <w:tcPr>
            <w:tcW w:w="9167" w:type="dxa"/>
            <w:tcBorders>
              <w:top w:val="single" w:sz="8" w:space="0" w:color="auto"/>
              <w:left w:val="single" w:sz="8" w:space="0" w:color="auto"/>
              <w:bottom w:val="single" w:sz="8" w:space="0" w:color="auto"/>
              <w:right w:val="single" w:sz="8" w:space="0" w:color="auto"/>
            </w:tcBorders>
            <w:shd w:val="clear" w:color="000000" w:fill="F2F2F2"/>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4. Розничный товарооборот торговли через все каналы реализации, млрд. BYR (в текущих ценах)</w:t>
            </w:r>
          </w:p>
        </w:tc>
        <w:tc>
          <w:tcPr>
            <w:tcW w:w="1263" w:type="dxa"/>
            <w:tcBorders>
              <w:top w:val="single" w:sz="8" w:space="0" w:color="auto"/>
              <w:left w:val="nil"/>
              <w:bottom w:val="single" w:sz="8" w:space="0" w:color="auto"/>
              <w:right w:val="nil"/>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19 624,2</w:t>
            </w:r>
          </w:p>
        </w:tc>
        <w:tc>
          <w:tcPr>
            <w:tcW w:w="1263" w:type="dxa"/>
            <w:tcBorders>
              <w:top w:val="single" w:sz="8" w:space="0" w:color="auto"/>
              <w:left w:val="single" w:sz="8" w:space="0" w:color="auto"/>
              <w:bottom w:val="single" w:sz="8" w:space="0" w:color="auto"/>
              <w:right w:val="nil"/>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24 519,4</w:t>
            </w:r>
          </w:p>
        </w:tc>
        <w:tc>
          <w:tcPr>
            <w:tcW w:w="1522"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43 066,7</w:t>
            </w:r>
          </w:p>
        </w:tc>
        <w:tc>
          <w:tcPr>
            <w:tcW w:w="1457" w:type="dxa"/>
            <w:tcBorders>
              <w:top w:val="single" w:sz="8" w:space="0" w:color="auto"/>
              <w:left w:val="nil"/>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67 586,1</w:t>
            </w:r>
          </w:p>
        </w:tc>
      </w:tr>
      <w:tr w:rsidR="007D3C3D" w:rsidRPr="007D3C3D" w:rsidTr="007D3C3D">
        <w:trPr>
          <w:trHeight w:val="537"/>
          <w:jc w:val="center"/>
        </w:trPr>
        <w:tc>
          <w:tcPr>
            <w:tcW w:w="9167" w:type="dxa"/>
            <w:tcBorders>
              <w:top w:val="nil"/>
              <w:left w:val="single" w:sz="8" w:space="0" w:color="auto"/>
              <w:bottom w:val="nil"/>
              <w:right w:val="single" w:sz="8" w:space="0" w:color="auto"/>
            </w:tcBorders>
            <w:shd w:val="clear" w:color="auto" w:fill="auto"/>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5. Индекс потребительских цен, в процентах к предыдущему месяцу</w:t>
            </w:r>
          </w:p>
        </w:tc>
        <w:tc>
          <w:tcPr>
            <w:tcW w:w="1263" w:type="dxa"/>
            <w:tcBorders>
              <w:top w:val="nil"/>
              <w:left w:val="nil"/>
              <w:bottom w:val="nil"/>
              <w:right w:val="nil"/>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101,1</w:t>
            </w:r>
          </w:p>
        </w:tc>
        <w:tc>
          <w:tcPr>
            <w:tcW w:w="1263" w:type="dxa"/>
            <w:tcBorders>
              <w:top w:val="nil"/>
              <w:left w:val="single" w:sz="8" w:space="0" w:color="auto"/>
              <w:bottom w:val="nil"/>
              <w:right w:val="nil"/>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101,3</w:t>
            </w:r>
          </w:p>
        </w:tc>
        <w:tc>
          <w:tcPr>
            <w:tcW w:w="1522" w:type="dxa"/>
            <w:tcBorders>
              <w:top w:val="nil"/>
              <w:left w:val="single" w:sz="8" w:space="0" w:color="auto"/>
              <w:bottom w:val="nil"/>
              <w:right w:val="nil"/>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 </w:t>
            </w:r>
          </w:p>
        </w:tc>
        <w:tc>
          <w:tcPr>
            <w:tcW w:w="1457" w:type="dxa"/>
            <w:tcBorders>
              <w:top w:val="nil"/>
              <w:left w:val="single" w:sz="8" w:space="0" w:color="auto"/>
              <w:bottom w:val="single" w:sz="8" w:space="0" w:color="auto"/>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 </w:t>
            </w:r>
          </w:p>
        </w:tc>
      </w:tr>
      <w:tr w:rsidR="007D3C3D" w:rsidRPr="007D3C3D" w:rsidTr="007D3C3D">
        <w:trPr>
          <w:trHeight w:val="559"/>
          <w:jc w:val="center"/>
        </w:trPr>
        <w:tc>
          <w:tcPr>
            <w:tcW w:w="9167" w:type="dxa"/>
            <w:tcBorders>
              <w:top w:val="single" w:sz="8" w:space="0" w:color="auto"/>
              <w:left w:val="single" w:sz="8" w:space="0" w:color="auto"/>
              <w:bottom w:val="single" w:sz="8" w:space="0" w:color="auto"/>
              <w:right w:val="single" w:sz="8" w:space="0" w:color="auto"/>
            </w:tcBorders>
            <w:shd w:val="clear" w:color="000000" w:fill="F2F2F2"/>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xml:space="preserve">6. Индекс потребительских цен к декабрю предыдущего года нарастающим итогом, </w:t>
            </w:r>
            <w:proofErr w:type="gramStart"/>
            <w:r w:rsidRPr="007D3C3D">
              <w:rPr>
                <w:rFonts w:ascii="Cambria" w:eastAsia="Times New Roman" w:hAnsi="Cambria" w:cs="Arial"/>
                <w:sz w:val="24"/>
                <w:szCs w:val="24"/>
                <w:lang w:eastAsia="ru-RU"/>
              </w:rPr>
              <w:t>в</w:t>
            </w:r>
            <w:proofErr w:type="gramEnd"/>
            <w:r w:rsidRPr="007D3C3D">
              <w:rPr>
                <w:rFonts w:ascii="Cambria" w:eastAsia="Times New Roman" w:hAnsi="Cambria" w:cs="Arial"/>
                <w:sz w:val="24"/>
                <w:szCs w:val="24"/>
                <w:lang w:eastAsia="ru-RU"/>
              </w:rPr>
              <w:t xml:space="preserve"> %</w:t>
            </w:r>
          </w:p>
        </w:tc>
        <w:tc>
          <w:tcPr>
            <w:tcW w:w="1263" w:type="dxa"/>
            <w:tcBorders>
              <w:top w:val="single" w:sz="8" w:space="0" w:color="auto"/>
              <w:left w:val="nil"/>
              <w:bottom w:val="single" w:sz="8" w:space="0" w:color="auto"/>
              <w:right w:val="nil"/>
            </w:tcBorders>
            <w:shd w:val="clear" w:color="000000" w:fill="F2F2F2"/>
            <w:noWrap/>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w:t>
            </w:r>
          </w:p>
        </w:tc>
        <w:tc>
          <w:tcPr>
            <w:tcW w:w="1263" w:type="dxa"/>
            <w:tcBorders>
              <w:top w:val="single" w:sz="8" w:space="0" w:color="auto"/>
              <w:left w:val="single" w:sz="8" w:space="0" w:color="auto"/>
              <w:bottom w:val="single" w:sz="8" w:space="0" w:color="auto"/>
              <w:right w:val="nil"/>
            </w:tcBorders>
            <w:shd w:val="clear" w:color="000000" w:fill="F2F2F2"/>
            <w:noWrap/>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w:t>
            </w:r>
          </w:p>
        </w:tc>
        <w:tc>
          <w:tcPr>
            <w:tcW w:w="1522"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103,6</w:t>
            </w:r>
          </w:p>
        </w:tc>
        <w:tc>
          <w:tcPr>
            <w:tcW w:w="1457" w:type="dxa"/>
            <w:tcBorders>
              <w:top w:val="nil"/>
              <w:left w:val="nil"/>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104,9</w:t>
            </w:r>
          </w:p>
        </w:tc>
      </w:tr>
      <w:tr w:rsidR="007D3C3D" w:rsidRPr="007D3C3D" w:rsidTr="007D3C3D">
        <w:trPr>
          <w:trHeight w:val="680"/>
          <w:jc w:val="center"/>
        </w:trPr>
        <w:tc>
          <w:tcPr>
            <w:tcW w:w="9167" w:type="dxa"/>
            <w:tcBorders>
              <w:top w:val="nil"/>
              <w:left w:val="single" w:sz="8" w:space="0" w:color="auto"/>
              <w:bottom w:val="nil"/>
              <w:right w:val="single" w:sz="8" w:space="0" w:color="auto"/>
            </w:tcBorders>
            <w:shd w:val="clear" w:color="auto" w:fill="auto"/>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xml:space="preserve">7. Индекс цен производителей промышленной продукции, </w:t>
            </w:r>
            <w:proofErr w:type="gramStart"/>
            <w:r w:rsidRPr="007D3C3D">
              <w:rPr>
                <w:rFonts w:ascii="Cambria" w:eastAsia="Times New Roman" w:hAnsi="Cambria" w:cs="Arial"/>
                <w:sz w:val="24"/>
                <w:szCs w:val="24"/>
                <w:lang w:eastAsia="ru-RU"/>
              </w:rPr>
              <w:t>в</w:t>
            </w:r>
            <w:proofErr w:type="gramEnd"/>
            <w:r w:rsidRPr="007D3C3D">
              <w:rPr>
                <w:rFonts w:ascii="Cambria" w:eastAsia="Times New Roman" w:hAnsi="Cambria" w:cs="Arial"/>
                <w:sz w:val="24"/>
                <w:szCs w:val="24"/>
                <w:lang w:eastAsia="ru-RU"/>
              </w:rPr>
              <w:t xml:space="preserve"> % к предыдущему месяцу</w:t>
            </w:r>
          </w:p>
        </w:tc>
        <w:tc>
          <w:tcPr>
            <w:tcW w:w="1263" w:type="dxa"/>
            <w:tcBorders>
              <w:top w:val="nil"/>
              <w:left w:val="nil"/>
              <w:bottom w:val="nil"/>
              <w:right w:val="nil"/>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100,6</w:t>
            </w:r>
          </w:p>
        </w:tc>
        <w:tc>
          <w:tcPr>
            <w:tcW w:w="1263" w:type="dxa"/>
            <w:tcBorders>
              <w:top w:val="nil"/>
              <w:left w:val="single" w:sz="8" w:space="0" w:color="auto"/>
              <w:bottom w:val="nil"/>
              <w:right w:val="nil"/>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100,8</w:t>
            </w:r>
          </w:p>
        </w:tc>
        <w:tc>
          <w:tcPr>
            <w:tcW w:w="1522" w:type="dxa"/>
            <w:tcBorders>
              <w:top w:val="nil"/>
              <w:left w:val="single" w:sz="8" w:space="0" w:color="auto"/>
              <w:bottom w:val="nil"/>
              <w:right w:val="single" w:sz="8" w:space="0" w:color="auto"/>
            </w:tcBorders>
            <w:shd w:val="clear" w:color="auto" w:fill="auto"/>
            <w:noWrap/>
            <w:hideMark/>
          </w:tcPr>
          <w:p w:rsidR="007D3C3D" w:rsidRPr="007D3C3D" w:rsidRDefault="007D3C3D" w:rsidP="00C11730">
            <w:pPr>
              <w:tabs>
                <w:tab w:val="left" w:pos="10773"/>
              </w:tabs>
              <w:spacing w:after="0" w:line="240" w:lineRule="auto"/>
              <w:contextualSpacing/>
              <w:rPr>
                <w:rFonts w:ascii="Cambria" w:eastAsia="Times New Roman" w:hAnsi="Cambria" w:cs="Arial"/>
                <w:sz w:val="20"/>
                <w:szCs w:val="20"/>
                <w:lang w:eastAsia="ru-RU"/>
              </w:rPr>
            </w:pPr>
            <w:r w:rsidRPr="007D3C3D">
              <w:rPr>
                <w:rFonts w:ascii="Cambria" w:eastAsia="Times New Roman" w:hAnsi="Cambria" w:cs="Arial"/>
                <w:sz w:val="20"/>
                <w:szCs w:val="20"/>
                <w:lang w:eastAsia="ru-RU"/>
              </w:rPr>
              <w:t> </w:t>
            </w:r>
          </w:p>
        </w:tc>
        <w:tc>
          <w:tcPr>
            <w:tcW w:w="1457" w:type="dxa"/>
            <w:tcBorders>
              <w:top w:val="nil"/>
              <w:left w:val="nil"/>
              <w:bottom w:val="nil"/>
              <w:right w:val="single" w:sz="8" w:space="0" w:color="auto"/>
            </w:tcBorders>
            <w:shd w:val="clear" w:color="auto" w:fill="auto"/>
            <w:noWrap/>
            <w:hideMark/>
          </w:tcPr>
          <w:p w:rsidR="007D3C3D" w:rsidRPr="007D3C3D" w:rsidRDefault="007D3C3D" w:rsidP="00C11730">
            <w:pPr>
              <w:tabs>
                <w:tab w:val="left" w:pos="10773"/>
              </w:tabs>
              <w:spacing w:after="0" w:line="240" w:lineRule="auto"/>
              <w:contextualSpacing/>
              <w:rPr>
                <w:rFonts w:ascii="Arial" w:eastAsia="Times New Roman" w:hAnsi="Arial" w:cs="Arial"/>
                <w:sz w:val="20"/>
                <w:szCs w:val="20"/>
                <w:lang w:eastAsia="ru-RU"/>
              </w:rPr>
            </w:pPr>
            <w:r w:rsidRPr="007D3C3D">
              <w:rPr>
                <w:rFonts w:ascii="Arial" w:eastAsia="Times New Roman" w:hAnsi="Arial" w:cs="Arial"/>
                <w:sz w:val="20"/>
                <w:szCs w:val="20"/>
                <w:lang w:eastAsia="ru-RU"/>
              </w:rPr>
              <w:t> </w:t>
            </w:r>
          </w:p>
        </w:tc>
      </w:tr>
      <w:tr w:rsidR="007D3C3D" w:rsidRPr="007D3C3D" w:rsidTr="007D3C3D">
        <w:trPr>
          <w:trHeight w:val="818"/>
          <w:jc w:val="center"/>
        </w:trPr>
        <w:tc>
          <w:tcPr>
            <w:tcW w:w="9167" w:type="dxa"/>
            <w:tcBorders>
              <w:top w:val="single" w:sz="8" w:space="0" w:color="auto"/>
              <w:left w:val="single" w:sz="8" w:space="0" w:color="auto"/>
              <w:bottom w:val="single" w:sz="8" w:space="0" w:color="auto"/>
              <w:right w:val="single" w:sz="8" w:space="0" w:color="auto"/>
            </w:tcBorders>
            <w:shd w:val="clear" w:color="000000" w:fill="F2F2F2"/>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xml:space="preserve">8. Индекс цен производителей промышленной продукции к декабрю предыдущего года, нарастающим итогом, </w:t>
            </w:r>
            <w:proofErr w:type="gramStart"/>
            <w:r w:rsidRPr="007D3C3D">
              <w:rPr>
                <w:rFonts w:ascii="Cambria" w:eastAsia="Times New Roman" w:hAnsi="Cambria" w:cs="Arial"/>
                <w:sz w:val="24"/>
                <w:szCs w:val="24"/>
                <w:lang w:eastAsia="ru-RU"/>
              </w:rPr>
              <w:t>в</w:t>
            </w:r>
            <w:proofErr w:type="gramEnd"/>
            <w:r w:rsidRPr="007D3C3D">
              <w:rPr>
                <w:rFonts w:ascii="Cambria" w:eastAsia="Times New Roman" w:hAnsi="Cambria" w:cs="Arial"/>
                <w:sz w:val="24"/>
                <w:szCs w:val="24"/>
                <w:lang w:eastAsia="ru-RU"/>
              </w:rPr>
              <w:t xml:space="preserve"> %</w:t>
            </w:r>
          </w:p>
        </w:tc>
        <w:tc>
          <w:tcPr>
            <w:tcW w:w="1263" w:type="dxa"/>
            <w:tcBorders>
              <w:top w:val="single" w:sz="8" w:space="0" w:color="auto"/>
              <w:left w:val="nil"/>
              <w:bottom w:val="single" w:sz="8" w:space="0" w:color="auto"/>
              <w:right w:val="nil"/>
            </w:tcBorders>
            <w:shd w:val="clear" w:color="000000" w:fill="F2F2F2"/>
            <w:noWrap/>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w:t>
            </w:r>
          </w:p>
        </w:tc>
        <w:tc>
          <w:tcPr>
            <w:tcW w:w="1263" w:type="dxa"/>
            <w:tcBorders>
              <w:top w:val="single" w:sz="8" w:space="0" w:color="auto"/>
              <w:left w:val="single" w:sz="8" w:space="0" w:color="auto"/>
              <w:bottom w:val="single" w:sz="8" w:space="0" w:color="auto"/>
              <w:right w:val="nil"/>
            </w:tcBorders>
            <w:shd w:val="clear" w:color="000000" w:fill="F2F2F2"/>
            <w:noWrap/>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 </w:t>
            </w:r>
          </w:p>
        </w:tc>
        <w:tc>
          <w:tcPr>
            <w:tcW w:w="1522"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102,2</w:t>
            </w:r>
          </w:p>
        </w:tc>
        <w:tc>
          <w:tcPr>
            <w:tcW w:w="1457" w:type="dxa"/>
            <w:tcBorders>
              <w:top w:val="single" w:sz="8" w:space="0" w:color="auto"/>
              <w:left w:val="nil"/>
              <w:bottom w:val="single" w:sz="8" w:space="0" w:color="auto"/>
              <w:right w:val="single" w:sz="8" w:space="0" w:color="auto"/>
            </w:tcBorders>
            <w:shd w:val="clear" w:color="000000" w:fill="F2F2F2"/>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103,0</w:t>
            </w:r>
          </w:p>
        </w:tc>
      </w:tr>
      <w:tr w:rsidR="007D3C3D" w:rsidRPr="007D3C3D" w:rsidTr="007D3C3D">
        <w:trPr>
          <w:trHeight w:val="315"/>
          <w:jc w:val="center"/>
        </w:trPr>
        <w:tc>
          <w:tcPr>
            <w:tcW w:w="9167" w:type="dxa"/>
            <w:tcBorders>
              <w:top w:val="nil"/>
              <w:left w:val="single" w:sz="8" w:space="0" w:color="auto"/>
              <w:bottom w:val="nil"/>
              <w:right w:val="single" w:sz="8" w:space="0" w:color="auto"/>
            </w:tcBorders>
            <w:shd w:val="clear" w:color="auto" w:fill="auto"/>
            <w:hideMark/>
          </w:tcPr>
          <w:p w:rsidR="007D3C3D" w:rsidRPr="007D3C3D" w:rsidRDefault="007D3C3D" w:rsidP="00C11730">
            <w:pPr>
              <w:tabs>
                <w:tab w:val="left" w:pos="10773"/>
              </w:tabs>
              <w:spacing w:after="0" w:line="240" w:lineRule="auto"/>
              <w:contextualSpacing/>
              <w:rPr>
                <w:rFonts w:ascii="Cambria" w:eastAsia="Times New Roman" w:hAnsi="Cambria" w:cs="Arial"/>
                <w:sz w:val="24"/>
                <w:szCs w:val="24"/>
                <w:lang w:eastAsia="ru-RU"/>
              </w:rPr>
            </w:pPr>
            <w:r w:rsidRPr="007D3C3D">
              <w:rPr>
                <w:rFonts w:ascii="Cambria" w:eastAsia="Times New Roman" w:hAnsi="Cambria" w:cs="Arial"/>
                <w:sz w:val="24"/>
                <w:szCs w:val="24"/>
                <w:lang w:eastAsia="ru-RU"/>
              </w:rPr>
              <w:t>9. Торговый баланс</w:t>
            </w:r>
          </w:p>
        </w:tc>
        <w:tc>
          <w:tcPr>
            <w:tcW w:w="1263" w:type="dxa"/>
            <w:tcBorders>
              <w:top w:val="nil"/>
              <w:left w:val="nil"/>
              <w:bottom w:val="nil"/>
              <w:right w:val="single" w:sz="8" w:space="0" w:color="auto"/>
            </w:tcBorders>
            <w:shd w:val="clear" w:color="auto" w:fill="auto"/>
            <w:noWrap/>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мар.13</w:t>
            </w:r>
          </w:p>
        </w:tc>
        <w:tc>
          <w:tcPr>
            <w:tcW w:w="1263" w:type="dxa"/>
            <w:tcBorders>
              <w:top w:val="nil"/>
              <w:left w:val="nil"/>
              <w:bottom w:val="nil"/>
              <w:right w:val="single" w:sz="8" w:space="0" w:color="auto"/>
            </w:tcBorders>
            <w:shd w:val="clear" w:color="auto" w:fill="auto"/>
            <w:noWrap/>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мар.14</w:t>
            </w:r>
          </w:p>
        </w:tc>
        <w:tc>
          <w:tcPr>
            <w:tcW w:w="1522" w:type="dxa"/>
            <w:tcBorders>
              <w:top w:val="nil"/>
              <w:left w:val="nil"/>
              <w:bottom w:val="nil"/>
              <w:right w:val="single" w:sz="8" w:space="0" w:color="auto"/>
            </w:tcBorders>
            <w:shd w:val="clear" w:color="auto" w:fill="auto"/>
            <w:noWrap/>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фев.14</w:t>
            </w:r>
          </w:p>
        </w:tc>
        <w:tc>
          <w:tcPr>
            <w:tcW w:w="1457" w:type="dxa"/>
            <w:tcBorders>
              <w:top w:val="nil"/>
              <w:left w:val="nil"/>
              <w:bottom w:val="nil"/>
              <w:right w:val="single" w:sz="8" w:space="0" w:color="auto"/>
            </w:tcBorders>
            <w:shd w:val="clear" w:color="auto" w:fill="auto"/>
            <w:noWrap/>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мар.14</w:t>
            </w:r>
          </w:p>
        </w:tc>
      </w:tr>
      <w:tr w:rsidR="007D3C3D" w:rsidRPr="007D3C3D" w:rsidTr="007D3C3D">
        <w:trPr>
          <w:trHeight w:val="315"/>
          <w:jc w:val="center"/>
        </w:trPr>
        <w:tc>
          <w:tcPr>
            <w:tcW w:w="9167" w:type="dxa"/>
            <w:tcBorders>
              <w:top w:val="nil"/>
              <w:left w:val="single" w:sz="8" w:space="0" w:color="auto"/>
              <w:bottom w:val="nil"/>
              <w:right w:val="single" w:sz="8" w:space="0" w:color="auto"/>
            </w:tcBorders>
            <w:shd w:val="clear" w:color="auto" w:fill="auto"/>
            <w:hideMark/>
          </w:tcPr>
          <w:p w:rsidR="007D3C3D" w:rsidRPr="007D3C3D" w:rsidRDefault="007D3C3D" w:rsidP="00C11730">
            <w:pPr>
              <w:tabs>
                <w:tab w:val="left" w:pos="10773"/>
              </w:tabs>
              <w:spacing w:after="0" w:line="240" w:lineRule="auto"/>
              <w:contextualSpacing/>
              <w:jc w:val="right"/>
              <w:rPr>
                <w:rFonts w:ascii="Cambria" w:eastAsia="Times New Roman" w:hAnsi="Cambria" w:cs="Arial"/>
                <w:sz w:val="24"/>
                <w:szCs w:val="24"/>
                <w:lang w:eastAsia="ru-RU"/>
              </w:rPr>
            </w:pPr>
            <w:r w:rsidRPr="007D3C3D">
              <w:rPr>
                <w:rFonts w:ascii="Cambria" w:eastAsia="Times New Roman" w:hAnsi="Cambria" w:cs="Arial"/>
                <w:sz w:val="24"/>
                <w:szCs w:val="24"/>
                <w:lang w:eastAsia="ru-RU"/>
              </w:rPr>
              <w:t>Экспорт товаров, млн. USD</w:t>
            </w:r>
          </w:p>
        </w:tc>
        <w:tc>
          <w:tcPr>
            <w:tcW w:w="1263"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3 335,0</w:t>
            </w:r>
          </w:p>
        </w:tc>
        <w:tc>
          <w:tcPr>
            <w:tcW w:w="1263"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3 428,5</w:t>
            </w:r>
          </w:p>
        </w:tc>
        <w:tc>
          <w:tcPr>
            <w:tcW w:w="1522"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2 932,5</w:t>
            </w:r>
          </w:p>
        </w:tc>
        <w:tc>
          <w:tcPr>
            <w:tcW w:w="1457"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3 428,5</w:t>
            </w:r>
          </w:p>
        </w:tc>
      </w:tr>
      <w:tr w:rsidR="007D3C3D" w:rsidRPr="007D3C3D" w:rsidTr="007D3C3D">
        <w:trPr>
          <w:trHeight w:val="315"/>
          <w:jc w:val="center"/>
        </w:trPr>
        <w:tc>
          <w:tcPr>
            <w:tcW w:w="9167" w:type="dxa"/>
            <w:tcBorders>
              <w:top w:val="nil"/>
              <w:left w:val="single" w:sz="8" w:space="0" w:color="auto"/>
              <w:bottom w:val="nil"/>
              <w:right w:val="single" w:sz="8" w:space="0" w:color="auto"/>
            </w:tcBorders>
            <w:shd w:val="clear" w:color="auto" w:fill="auto"/>
            <w:hideMark/>
          </w:tcPr>
          <w:p w:rsidR="007D3C3D" w:rsidRPr="007D3C3D" w:rsidRDefault="007D3C3D" w:rsidP="00C11730">
            <w:pPr>
              <w:tabs>
                <w:tab w:val="left" w:pos="10773"/>
              </w:tabs>
              <w:spacing w:after="0" w:line="240" w:lineRule="auto"/>
              <w:contextualSpacing/>
              <w:jc w:val="right"/>
              <w:rPr>
                <w:rFonts w:ascii="Cambria" w:eastAsia="Times New Roman" w:hAnsi="Cambria" w:cs="Arial"/>
                <w:sz w:val="24"/>
                <w:szCs w:val="24"/>
                <w:lang w:eastAsia="ru-RU"/>
              </w:rPr>
            </w:pPr>
            <w:r w:rsidRPr="007D3C3D">
              <w:rPr>
                <w:rFonts w:ascii="Cambria" w:eastAsia="Times New Roman" w:hAnsi="Cambria" w:cs="Arial"/>
                <w:sz w:val="24"/>
                <w:szCs w:val="24"/>
                <w:lang w:eastAsia="ru-RU"/>
              </w:rPr>
              <w:t>Импорт товаров, млн. USD</w:t>
            </w:r>
          </w:p>
        </w:tc>
        <w:tc>
          <w:tcPr>
            <w:tcW w:w="1263"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3 603,3</w:t>
            </w:r>
          </w:p>
        </w:tc>
        <w:tc>
          <w:tcPr>
            <w:tcW w:w="1263"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3 384,0</w:t>
            </w:r>
          </w:p>
        </w:tc>
        <w:tc>
          <w:tcPr>
            <w:tcW w:w="1522"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3 073,2</w:t>
            </w:r>
          </w:p>
        </w:tc>
        <w:tc>
          <w:tcPr>
            <w:tcW w:w="1457" w:type="dxa"/>
            <w:tcBorders>
              <w:top w:val="nil"/>
              <w:left w:val="nil"/>
              <w:bottom w:val="nil"/>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3 384,0</w:t>
            </w:r>
          </w:p>
        </w:tc>
      </w:tr>
      <w:tr w:rsidR="007D3C3D" w:rsidRPr="007D3C3D" w:rsidTr="007D3C3D">
        <w:trPr>
          <w:trHeight w:val="330"/>
          <w:jc w:val="center"/>
        </w:trPr>
        <w:tc>
          <w:tcPr>
            <w:tcW w:w="9167" w:type="dxa"/>
            <w:tcBorders>
              <w:top w:val="nil"/>
              <w:left w:val="single" w:sz="8" w:space="0" w:color="auto"/>
              <w:bottom w:val="single" w:sz="8" w:space="0" w:color="auto"/>
              <w:right w:val="single" w:sz="8" w:space="0" w:color="auto"/>
            </w:tcBorders>
            <w:shd w:val="clear" w:color="auto" w:fill="auto"/>
            <w:hideMark/>
          </w:tcPr>
          <w:p w:rsidR="007D3C3D" w:rsidRPr="007D3C3D" w:rsidRDefault="007D3C3D" w:rsidP="00C11730">
            <w:pPr>
              <w:tabs>
                <w:tab w:val="left" w:pos="10773"/>
              </w:tabs>
              <w:spacing w:after="0" w:line="240" w:lineRule="auto"/>
              <w:contextualSpacing/>
              <w:jc w:val="right"/>
              <w:rPr>
                <w:rFonts w:ascii="Cambria" w:eastAsia="Times New Roman" w:hAnsi="Cambria" w:cs="Arial"/>
                <w:sz w:val="24"/>
                <w:szCs w:val="24"/>
                <w:lang w:eastAsia="ru-RU"/>
              </w:rPr>
            </w:pPr>
            <w:r w:rsidRPr="007D3C3D">
              <w:rPr>
                <w:rFonts w:ascii="Cambria" w:eastAsia="Times New Roman" w:hAnsi="Cambria" w:cs="Arial"/>
                <w:sz w:val="24"/>
                <w:szCs w:val="24"/>
                <w:lang w:eastAsia="ru-RU"/>
              </w:rPr>
              <w:t>Сальдо, млн. USD</w:t>
            </w:r>
          </w:p>
        </w:tc>
        <w:tc>
          <w:tcPr>
            <w:tcW w:w="1263" w:type="dxa"/>
            <w:tcBorders>
              <w:top w:val="nil"/>
              <w:left w:val="nil"/>
              <w:bottom w:val="single" w:sz="8" w:space="0" w:color="auto"/>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-268,3</w:t>
            </w:r>
          </w:p>
        </w:tc>
        <w:tc>
          <w:tcPr>
            <w:tcW w:w="1263" w:type="dxa"/>
            <w:tcBorders>
              <w:top w:val="nil"/>
              <w:left w:val="nil"/>
              <w:bottom w:val="single" w:sz="8" w:space="0" w:color="auto"/>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44,5</w:t>
            </w:r>
          </w:p>
        </w:tc>
        <w:tc>
          <w:tcPr>
            <w:tcW w:w="1522" w:type="dxa"/>
            <w:tcBorders>
              <w:top w:val="nil"/>
              <w:left w:val="nil"/>
              <w:bottom w:val="single" w:sz="8" w:space="0" w:color="auto"/>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-140,7</w:t>
            </w:r>
          </w:p>
        </w:tc>
        <w:tc>
          <w:tcPr>
            <w:tcW w:w="1457" w:type="dxa"/>
            <w:tcBorders>
              <w:top w:val="nil"/>
              <w:left w:val="nil"/>
              <w:bottom w:val="single" w:sz="8" w:space="0" w:color="auto"/>
              <w:right w:val="single" w:sz="8" w:space="0" w:color="auto"/>
            </w:tcBorders>
            <w:shd w:val="clear" w:color="auto" w:fill="auto"/>
            <w:noWrap/>
            <w:vAlign w:val="center"/>
            <w:hideMark/>
          </w:tcPr>
          <w:p w:rsidR="007D3C3D" w:rsidRPr="007D3C3D" w:rsidRDefault="007D3C3D" w:rsidP="00C11730">
            <w:pPr>
              <w:tabs>
                <w:tab w:val="left" w:pos="10773"/>
              </w:tabs>
              <w:spacing w:after="0" w:line="240" w:lineRule="auto"/>
              <w:contextualSpacing/>
              <w:jc w:val="center"/>
              <w:rPr>
                <w:rFonts w:ascii="Cambria" w:eastAsia="Times New Roman" w:hAnsi="Cambria" w:cs="Arial"/>
                <w:sz w:val="24"/>
                <w:szCs w:val="24"/>
                <w:lang w:eastAsia="ru-RU"/>
              </w:rPr>
            </w:pPr>
            <w:r w:rsidRPr="007D3C3D">
              <w:rPr>
                <w:rFonts w:ascii="Cambria" w:eastAsia="Times New Roman" w:hAnsi="Cambria" w:cs="Arial"/>
                <w:sz w:val="24"/>
                <w:szCs w:val="24"/>
                <w:lang w:eastAsia="ru-RU"/>
              </w:rPr>
              <w:t>44,5</w:t>
            </w:r>
          </w:p>
        </w:tc>
      </w:tr>
    </w:tbl>
    <w:p w:rsidR="00411A70" w:rsidRPr="007B6012" w:rsidRDefault="00411A70" w:rsidP="00C11730">
      <w:pPr>
        <w:tabs>
          <w:tab w:val="left" w:pos="10773"/>
        </w:tabs>
        <w:ind w:left="567" w:firstLine="426"/>
        <w:jc w:val="both"/>
        <w:rPr>
          <w:rFonts w:asciiTheme="majorHAnsi" w:hAnsiTheme="majorHAnsi"/>
          <w:sz w:val="24"/>
          <w:szCs w:val="24"/>
        </w:rPr>
      </w:pPr>
    </w:p>
    <w:p w:rsidR="00183F67" w:rsidRPr="001A21C4" w:rsidRDefault="00183F67" w:rsidP="00C11730">
      <w:pPr>
        <w:tabs>
          <w:tab w:val="left" w:pos="10773"/>
        </w:tabs>
        <w:ind w:left="567" w:firstLine="426"/>
        <w:jc w:val="both"/>
        <w:rPr>
          <w:rFonts w:asciiTheme="majorHAnsi" w:hAnsiTheme="majorHAnsi"/>
          <w:sz w:val="24"/>
          <w:szCs w:val="24"/>
        </w:rPr>
      </w:pPr>
    </w:p>
    <w:p w:rsidR="00183F67" w:rsidRPr="001A21C4" w:rsidRDefault="00183F67" w:rsidP="00C11730">
      <w:pPr>
        <w:tabs>
          <w:tab w:val="left" w:pos="10773"/>
        </w:tabs>
        <w:ind w:left="567" w:firstLine="426"/>
        <w:jc w:val="both"/>
        <w:rPr>
          <w:rFonts w:asciiTheme="majorHAnsi" w:hAnsiTheme="majorHAnsi"/>
          <w:sz w:val="24"/>
          <w:szCs w:val="24"/>
        </w:rPr>
      </w:pPr>
    </w:p>
    <w:p w:rsidR="00183F67" w:rsidRPr="001A21C4" w:rsidRDefault="00183F67" w:rsidP="00C11730">
      <w:pPr>
        <w:tabs>
          <w:tab w:val="left" w:pos="10773"/>
        </w:tabs>
        <w:ind w:left="567" w:firstLine="426"/>
        <w:jc w:val="both"/>
        <w:rPr>
          <w:rFonts w:asciiTheme="majorHAnsi" w:hAnsiTheme="majorHAnsi"/>
          <w:sz w:val="24"/>
          <w:szCs w:val="24"/>
        </w:rPr>
      </w:pPr>
    </w:p>
    <w:p w:rsidR="00961F93" w:rsidRDefault="00961F93" w:rsidP="00C11730">
      <w:pPr>
        <w:tabs>
          <w:tab w:val="left" w:pos="10773"/>
        </w:tabs>
        <w:ind w:left="567" w:firstLine="426"/>
        <w:jc w:val="center"/>
        <w:rPr>
          <w:rFonts w:asciiTheme="majorHAnsi" w:hAnsiTheme="majorHAnsi"/>
          <w:b/>
          <w:sz w:val="28"/>
          <w:szCs w:val="28"/>
        </w:rPr>
      </w:pPr>
      <w:r w:rsidRPr="00411A70">
        <w:rPr>
          <w:rFonts w:asciiTheme="majorHAnsi" w:hAnsiTheme="majorHAnsi"/>
          <w:b/>
          <w:sz w:val="28"/>
          <w:szCs w:val="28"/>
        </w:rPr>
        <w:lastRenderedPageBreak/>
        <w:t xml:space="preserve">Приложения к таблице </w:t>
      </w:r>
      <w:proofErr w:type="spellStart"/>
      <w:r w:rsidRPr="00411A70">
        <w:rPr>
          <w:rFonts w:asciiTheme="majorHAnsi" w:hAnsiTheme="majorHAnsi"/>
          <w:b/>
          <w:sz w:val="28"/>
          <w:szCs w:val="28"/>
        </w:rPr>
        <w:t>макроиндикаторов</w:t>
      </w:r>
      <w:proofErr w:type="spellEnd"/>
    </w:p>
    <w:p w:rsidR="007C35EC" w:rsidRPr="00411A70" w:rsidRDefault="00F72E70" w:rsidP="00C11730">
      <w:pPr>
        <w:tabs>
          <w:tab w:val="left" w:pos="10773"/>
        </w:tabs>
        <w:ind w:left="142"/>
        <w:jc w:val="center"/>
        <w:rPr>
          <w:rFonts w:asciiTheme="majorHAnsi" w:hAnsiTheme="majorHAnsi"/>
          <w:b/>
          <w:sz w:val="28"/>
          <w:szCs w:val="28"/>
        </w:rPr>
      </w:pPr>
      <w:r w:rsidRPr="00F72E70">
        <w:rPr>
          <w:rFonts w:asciiTheme="majorHAnsi" w:hAnsiTheme="majorHAnsi"/>
          <w:b/>
          <w:noProof/>
          <w:sz w:val="28"/>
          <w:szCs w:val="28"/>
          <w:lang w:eastAsia="ru-RU"/>
        </w:rPr>
        <w:drawing>
          <wp:inline distT="0" distB="0" distL="0" distR="0">
            <wp:extent cx="9476509" cy="5913912"/>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61B0" w:rsidRDefault="00D361B0" w:rsidP="00C11730">
      <w:pPr>
        <w:tabs>
          <w:tab w:val="left" w:pos="10773"/>
        </w:tabs>
        <w:ind w:left="567" w:firstLine="426"/>
        <w:jc w:val="center"/>
        <w:rPr>
          <w:rFonts w:asciiTheme="majorHAnsi" w:hAnsiTheme="majorHAnsi"/>
          <w:sz w:val="24"/>
          <w:szCs w:val="24"/>
        </w:rPr>
      </w:pPr>
    </w:p>
    <w:p w:rsidR="00411A70" w:rsidRDefault="00411A70" w:rsidP="00C11730">
      <w:pPr>
        <w:tabs>
          <w:tab w:val="left" w:pos="10773"/>
        </w:tabs>
        <w:ind w:left="567" w:firstLine="426"/>
        <w:jc w:val="center"/>
        <w:rPr>
          <w:rFonts w:asciiTheme="majorHAnsi" w:hAnsiTheme="majorHAnsi"/>
          <w:sz w:val="24"/>
          <w:szCs w:val="24"/>
        </w:rPr>
      </w:pPr>
    </w:p>
    <w:p w:rsidR="005020D1" w:rsidRDefault="00F72E70" w:rsidP="00C11730">
      <w:pPr>
        <w:tabs>
          <w:tab w:val="left" w:pos="10773"/>
        </w:tabs>
        <w:jc w:val="center"/>
        <w:rPr>
          <w:rFonts w:asciiTheme="majorHAnsi" w:hAnsiTheme="majorHAnsi"/>
          <w:sz w:val="24"/>
          <w:szCs w:val="24"/>
        </w:rPr>
      </w:pPr>
      <w:r w:rsidRPr="00F72E70">
        <w:rPr>
          <w:rFonts w:asciiTheme="majorHAnsi" w:hAnsiTheme="majorHAnsi"/>
          <w:noProof/>
          <w:sz w:val="24"/>
          <w:szCs w:val="24"/>
          <w:lang w:eastAsia="ru-RU"/>
        </w:rPr>
        <w:drawing>
          <wp:inline distT="0" distB="0" distL="0" distR="0">
            <wp:extent cx="9547761" cy="5617029"/>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20D1" w:rsidRDefault="005020D1" w:rsidP="00C11730">
      <w:pPr>
        <w:tabs>
          <w:tab w:val="left" w:pos="10773"/>
        </w:tabs>
        <w:ind w:left="567" w:firstLine="426"/>
        <w:jc w:val="center"/>
        <w:rPr>
          <w:rFonts w:asciiTheme="majorHAnsi" w:hAnsiTheme="majorHAnsi"/>
          <w:sz w:val="24"/>
          <w:szCs w:val="24"/>
        </w:rPr>
      </w:pPr>
    </w:p>
    <w:p w:rsidR="005020D1" w:rsidRDefault="005020D1" w:rsidP="00C11730">
      <w:pPr>
        <w:tabs>
          <w:tab w:val="left" w:pos="10773"/>
        </w:tabs>
        <w:ind w:left="142"/>
        <w:jc w:val="center"/>
        <w:rPr>
          <w:rFonts w:asciiTheme="majorHAnsi" w:hAnsiTheme="majorHAnsi"/>
          <w:sz w:val="24"/>
          <w:szCs w:val="24"/>
        </w:rPr>
      </w:pPr>
    </w:p>
    <w:p w:rsidR="005020D1" w:rsidRDefault="00F72E70" w:rsidP="00C11730">
      <w:pPr>
        <w:tabs>
          <w:tab w:val="left" w:pos="10773"/>
        </w:tabs>
        <w:ind w:left="142"/>
        <w:jc w:val="center"/>
        <w:rPr>
          <w:rFonts w:asciiTheme="majorHAnsi" w:hAnsiTheme="majorHAnsi"/>
          <w:sz w:val="24"/>
          <w:szCs w:val="24"/>
        </w:rPr>
      </w:pPr>
      <w:r w:rsidRPr="00F72E70">
        <w:rPr>
          <w:rFonts w:asciiTheme="majorHAnsi" w:hAnsiTheme="majorHAnsi"/>
          <w:noProof/>
          <w:sz w:val="24"/>
          <w:szCs w:val="24"/>
          <w:lang w:eastAsia="ru-RU"/>
        </w:rPr>
        <w:lastRenderedPageBreak/>
        <w:drawing>
          <wp:inline distT="0" distB="0" distL="0" distR="0">
            <wp:extent cx="9393382" cy="6460177"/>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2E70" w:rsidRDefault="00F72E70" w:rsidP="00C11730">
      <w:pPr>
        <w:tabs>
          <w:tab w:val="left" w:pos="10773"/>
        </w:tabs>
        <w:ind w:left="142"/>
        <w:jc w:val="center"/>
        <w:rPr>
          <w:rFonts w:asciiTheme="majorHAnsi" w:hAnsiTheme="majorHAnsi"/>
          <w:sz w:val="24"/>
          <w:szCs w:val="24"/>
        </w:rPr>
      </w:pPr>
      <w:r w:rsidRPr="00F72E70">
        <w:rPr>
          <w:rFonts w:asciiTheme="majorHAnsi" w:hAnsiTheme="majorHAnsi"/>
          <w:noProof/>
          <w:sz w:val="24"/>
          <w:szCs w:val="24"/>
          <w:lang w:eastAsia="ru-RU"/>
        </w:rPr>
        <w:lastRenderedPageBreak/>
        <w:drawing>
          <wp:inline distT="0" distB="0" distL="0" distR="0">
            <wp:extent cx="9417132" cy="637704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0AD0" w:rsidRDefault="00B30AD0" w:rsidP="00C11730">
      <w:pPr>
        <w:tabs>
          <w:tab w:val="left" w:pos="10773"/>
        </w:tabs>
        <w:ind w:left="142"/>
        <w:jc w:val="center"/>
        <w:rPr>
          <w:rFonts w:asciiTheme="majorHAnsi" w:hAnsiTheme="majorHAnsi"/>
          <w:sz w:val="24"/>
          <w:szCs w:val="24"/>
        </w:rPr>
      </w:pPr>
    </w:p>
    <w:p w:rsidR="00F72E70" w:rsidRDefault="00F72E70" w:rsidP="00C11730">
      <w:pPr>
        <w:tabs>
          <w:tab w:val="left" w:pos="10773"/>
        </w:tabs>
        <w:ind w:left="142"/>
        <w:jc w:val="center"/>
        <w:rPr>
          <w:rFonts w:asciiTheme="majorHAnsi" w:hAnsiTheme="majorHAnsi"/>
          <w:sz w:val="24"/>
          <w:szCs w:val="24"/>
        </w:rPr>
      </w:pPr>
      <w:r w:rsidRPr="00F72E70">
        <w:rPr>
          <w:rFonts w:asciiTheme="majorHAnsi" w:hAnsiTheme="majorHAnsi"/>
          <w:noProof/>
          <w:sz w:val="24"/>
          <w:szCs w:val="24"/>
          <w:lang w:eastAsia="ru-RU"/>
        </w:rPr>
        <w:lastRenderedPageBreak/>
        <w:drawing>
          <wp:inline distT="0" distB="0" distL="0" distR="0">
            <wp:extent cx="9559636" cy="6543304"/>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0AD0" w:rsidRDefault="006375B2" w:rsidP="00C11730">
      <w:pPr>
        <w:tabs>
          <w:tab w:val="left" w:pos="10773"/>
        </w:tabs>
        <w:ind w:left="142"/>
        <w:jc w:val="center"/>
        <w:rPr>
          <w:rFonts w:asciiTheme="majorHAnsi" w:hAnsiTheme="majorHAnsi"/>
          <w:sz w:val="24"/>
          <w:szCs w:val="24"/>
        </w:rPr>
      </w:pPr>
      <w:r w:rsidRPr="006375B2">
        <w:rPr>
          <w:rFonts w:asciiTheme="majorHAnsi" w:hAnsiTheme="majorHAnsi"/>
          <w:noProof/>
          <w:sz w:val="24"/>
          <w:szCs w:val="24"/>
          <w:lang w:eastAsia="ru-RU"/>
        </w:rPr>
        <w:lastRenderedPageBreak/>
        <w:drawing>
          <wp:inline distT="0" distB="0" distL="0" distR="0">
            <wp:extent cx="9809018" cy="657893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0AD0" w:rsidRPr="001A21C4" w:rsidRDefault="006375B2" w:rsidP="00C11730">
      <w:pPr>
        <w:tabs>
          <w:tab w:val="left" w:pos="10773"/>
        </w:tabs>
        <w:ind w:left="142"/>
        <w:jc w:val="center"/>
        <w:rPr>
          <w:rFonts w:asciiTheme="majorHAnsi" w:hAnsiTheme="majorHAnsi"/>
          <w:sz w:val="24"/>
          <w:szCs w:val="24"/>
        </w:rPr>
      </w:pPr>
      <w:r w:rsidRPr="006375B2">
        <w:rPr>
          <w:rFonts w:asciiTheme="majorHAnsi" w:hAnsiTheme="majorHAnsi"/>
          <w:noProof/>
          <w:sz w:val="24"/>
          <w:szCs w:val="24"/>
          <w:lang w:eastAsia="ru-RU"/>
        </w:rPr>
        <w:lastRenderedPageBreak/>
        <w:drawing>
          <wp:inline distT="0" distB="0" distL="0" distR="0">
            <wp:extent cx="9868395" cy="6460177"/>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958B6" w:rsidRDefault="006375B2" w:rsidP="00C11730">
      <w:pPr>
        <w:tabs>
          <w:tab w:val="left" w:pos="10773"/>
        </w:tabs>
        <w:ind w:left="142"/>
        <w:jc w:val="center"/>
        <w:rPr>
          <w:rFonts w:asciiTheme="majorHAnsi" w:hAnsiTheme="majorHAnsi"/>
          <w:sz w:val="24"/>
          <w:szCs w:val="24"/>
        </w:rPr>
      </w:pPr>
      <w:r w:rsidRPr="006375B2">
        <w:rPr>
          <w:rFonts w:asciiTheme="majorHAnsi" w:hAnsiTheme="majorHAnsi"/>
          <w:noProof/>
          <w:sz w:val="24"/>
          <w:szCs w:val="24"/>
          <w:lang w:eastAsia="ru-RU"/>
        </w:rPr>
        <w:lastRenderedPageBreak/>
        <w:drawing>
          <wp:inline distT="0" distB="0" distL="0" distR="0">
            <wp:extent cx="9642763" cy="6234546"/>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30AD0" w:rsidRDefault="00B30AD0" w:rsidP="00C11730">
      <w:pPr>
        <w:tabs>
          <w:tab w:val="left" w:pos="10773"/>
        </w:tabs>
        <w:ind w:left="142"/>
        <w:jc w:val="both"/>
        <w:rPr>
          <w:rFonts w:asciiTheme="majorHAnsi" w:hAnsiTheme="majorHAnsi"/>
          <w:sz w:val="24"/>
          <w:szCs w:val="24"/>
        </w:rPr>
      </w:pPr>
    </w:p>
    <w:p w:rsidR="007D7162" w:rsidRDefault="006375B2" w:rsidP="00C11730">
      <w:pPr>
        <w:tabs>
          <w:tab w:val="left" w:pos="10773"/>
        </w:tabs>
        <w:ind w:left="142"/>
        <w:jc w:val="center"/>
        <w:rPr>
          <w:rFonts w:asciiTheme="majorHAnsi" w:hAnsiTheme="majorHAnsi"/>
          <w:sz w:val="24"/>
          <w:szCs w:val="24"/>
        </w:rPr>
      </w:pPr>
      <w:r w:rsidRPr="006375B2">
        <w:rPr>
          <w:rFonts w:asciiTheme="majorHAnsi" w:hAnsiTheme="majorHAnsi"/>
          <w:noProof/>
          <w:sz w:val="24"/>
          <w:szCs w:val="24"/>
          <w:lang w:eastAsia="ru-RU"/>
        </w:rPr>
        <w:lastRenderedPageBreak/>
        <w:drawing>
          <wp:inline distT="0" distB="0" distL="0" distR="0">
            <wp:extent cx="9642763" cy="656705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F26DE" w:rsidRDefault="00EF26DE" w:rsidP="00C11730">
      <w:pPr>
        <w:tabs>
          <w:tab w:val="left" w:pos="10773"/>
        </w:tabs>
        <w:ind w:left="567" w:firstLine="426"/>
        <w:jc w:val="center"/>
        <w:rPr>
          <w:rFonts w:asciiTheme="majorHAnsi" w:hAnsiTheme="majorHAnsi"/>
          <w:b/>
          <w:sz w:val="24"/>
          <w:szCs w:val="24"/>
        </w:rPr>
      </w:pPr>
      <w:r w:rsidRPr="001A21C4">
        <w:rPr>
          <w:rFonts w:asciiTheme="majorHAnsi" w:hAnsiTheme="majorHAnsi"/>
          <w:b/>
          <w:sz w:val="24"/>
          <w:szCs w:val="24"/>
        </w:rPr>
        <w:lastRenderedPageBreak/>
        <w:t>ФИНАНСЫ. ТАБЛИЦЫ</w:t>
      </w:r>
    </w:p>
    <w:p w:rsidR="00CA5B29" w:rsidRDefault="006375B2" w:rsidP="00C11730">
      <w:pPr>
        <w:tabs>
          <w:tab w:val="left" w:pos="10773"/>
        </w:tabs>
        <w:ind w:left="284"/>
        <w:jc w:val="center"/>
        <w:rPr>
          <w:rFonts w:asciiTheme="majorHAnsi" w:hAnsiTheme="majorHAnsi"/>
          <w:b/>
          <w:sz w:val="24"/>
          <w:szCs w:val="24"/>
        </w:rPr>
      </w:pPr>
      <w:r w:rsidRPr="006375B2">
        <w:rPr>
          <w:rFonts w:asciiTheme="majorHAnsi" w:hAnsiTheme="majorHAnsi"/>
          <w:b/>
          <w:noProof/>
          <w:sz w:val="24"/>
          <w:szCs w:val="24"/>
          <w:lang w:eastAsia="ru-RU"/>
        </w:rPr>
        <w:drawing>
          <wp:inline distT="0" distB="0" distL="0" distR="0">
            <wp:extent cx="9742467" cy="6115792"/>
            <wp:effectExtent l="1905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7162" w:rsidRDefault="00DE3C0C" w:rsidP="00C11730">
      <w:pPr>
        <w:tabs>
          <w:tab w:val="left" w:pos="10773"/>
        </w:tabs>
        <w:ind w:left="284"/>
        <w:jc w:val="center"/>
        <w:rPr>
          <w:rFonts w:asciiTheme="majorHAnsi" w:hAnsiTheme="majorHAnsi"/>
          <w:b/>
          <w:sz w:val="24"/>
          <w:szCs w:val="24"/>
        </w:rPr>
      </w:pPr>
      <w:r w:rsidRPr="00DE3C0C">
        <w:rPr>
          <w:rFonts w:asciiTheme="majorHAnsi" w:hAnsiTheme="majorHAnsi"/>
          <w:b/>
          <w:noProof/>
          <w:sz w:val="24"/>
          <w:szCs w:val="24"/>
          <w:lang w:eastAsia="ru-RU"/>
        </w:rPr>
        <w:lastRenderedPageBreak/>
        <w:drawing>
          <wp:inline distT="0" distB="0" distL="0" distR="0">
            <wp:extent cx="9227127" cy="6282047"/>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7162" w:rsidRDefault="007D7162" w:rsidP="00C11730">
      <w:pPr>
        <w:tabs>
          <w:tab w:val="left" w:pos="10773"/>
        </w:tabs>
        <w:ind w:left="284"/>
        <w:jc w:val="center"/>
        <w:rPr>
          <w:rFonts w:asciiTheme="majorHAnsi" w:hAnsiTheme="majorHAnsi"/>
          <w:b/>
          <w:sz w:val="24"/>
          <w:szCs w:val="24"/>
        </w:rPr>
      </w:pPr>
    </w:p>
    <w:p w:rsidR="007D7162" w:rsidRDefault="00DE3C0C" w:rsidP="00C11730">
      <w:pPr>
        <w:tabs>
          <w:tab w:val="left" w:pos="10773"/>
        </w:tabs>
        <w:ind w:left="284"/>
        <w:jc w:val="center"/>
        <w:rPr>
          <w:rFonts w:asciiTheme="majorHAnsi" w:hAnsiTheme="majorHAnsi"/>
          <w:b/>
          <w:sz w:val="24"/>
          <w:szCs w:val="24"/>
        </w:rPr>
      </w:pPr>
      <w:r w:rsidRPr="00DE3C0C">
        <w:rPr>
          <w:rFonts w:asciiTheme="majorHAnsi" w:hAnsiTheme="majorHAnsi"/>
          <w:b/>
          <w:noProof/>
          <w:sz w:val="24"/>
          <w:szCs w:val="24"/>
          <w:lang w:eastAsia="ru-RU"/>
        </w:rPr>
        <w:lastRenderedPageBreak/>
        <w:drawing>
          <wp:inline distT="0" distB="0" distL="0" distR="0">
            <wp:extent cx="9405257" cy="6495803"/>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D7162" w:rsidRDefault="00DE3C0C" w:rsidP="00C11730">
      <w:pPr>
        <w:tabs>
          <w:tab w:val="left" w:pos="10773"/>
        </w:tabs>
        <w:ind w:left="284"/>
        <w:jc w:val="center"/>
        <w:rPr>
          <w:rFonts w:asciiTheme="majorHAnsi" w:hAnsiTheme="majorHAnsi"/>
          <w:b/>
          <w:sz w:val="24"/>
          <w:szCs w:val="24"/>
        </w:rPr>
      </w:pPr>
      <w:r w:rsidRPr="00DE3C0C">
        <w:rPr>
          <w:rFonts w:asciiTheme="majorHAnsi" w:hAnsiTheme="majorHAnsi"/>
          <w:b/>
          <w:noProof/>
          <w:sz w:val="24"/>
          <w:szCs w:val="24"/>
          <w:lang w:eastAsia="ru-RU"/>
        </w:rPr>
        <w:lastRenderedPageBreak/>
        <w:drawing>
          <wp:inline distT="0" distB="0" distL="0" distR="0">
            <wp:extent cx="9357756" cy="6305797"/>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D7162" w:rsidRDefault="007D7162" w:rsidP="00C11730">
      <w:pPr>
        <w:tabs>
          <w:tab w:val="left" w:pos="10773"/>
        </w:tabs>
        <w:ind w:left="284"/>
        <w:jc w:val="center"/>
        <w:rPr>
          <w:rFonts w:asciiTheme="majorHAnsi" w:hAnsiTheme="majorHAnsi"/>
          <w:b/>
          <w:sz w:val="24"/>
          <w:szCs w:val="24"/>
        </w:rPr>
      </w:pPr>
    </w:p>
    <w:p w:rsidR="00853F04" w:rsidRDefault="00DE3C0C" w:rsidP="00C11730">
      <w:pPr>
        <w:tabs>
          <w:tab w:val="left" w:pos="10773"/>
        </w:tabs>
        <w:ind w:left="284"/>
        <w:jc w:val="center"/>
        <w:rPr>
          <w:rFonts w:asciiTheme="majorHAnsi" w:hAnsiTheme="majorHAnsi"/>
          <w:b/>
          <w:sz w:val="24"/>
          <w:szCs w:val="24"/>
        </w:rPr>
      </w:pPr>
      <w:r w:rsidRPr="00DE3C0C">
        <w:rPr>
          <w:rFonts w:asciiTheme="majorHAnsi" w:hAnsiTheme="majorHAnsi"/>
          <w:b/>
          <w:noProof/>
          <w:sz w:val="24"/>
          <w:szCs w:val="24"/>
          <w:lang w:eastAsia="ru-RU"/>
        </w:rPr>
        <w:lastRenderedPageBreak/>
        <w:drawing>
          <wp:inline distT="0" distB="0" distL="0" distR="0">
            <wp:extent cx="9464634" cy="6353299"/>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D7162" w:rsidRDefault="007D7162" w:rsidP="00C11730">
      <w:pPr>
        <w:tabs>
          <w:tab w:val="left" w:pos="10773"/>
        </w:tabs>
        <w:ind w:left="284"/>
        <w:jc w:val="center"/>
        <w:rPr>
          <w:rFonts w:asciiTheme="majorHAnsi" w:hAnsiTheme="majorHAnsi"/>
          <w:b/>
          <w:sz w:val="24"/>
          <w:szCs w:val="24"/>
        </w:rPr>
      </w:pPr>
    </w:p>
    <w:p w:rsidR="00FD4FEA" w:rsidRDefault="00EF26DE" w:rsidP="00C11730">
      <w:pPr>
        <w:tabs>
          <w:tab w:val="left" w:pos="10773"/>
        </w:tabs>
        <w:ind w:left="567" w:firstLine="426"/>
        <w:jc w:val="center"/>
        <w:rPr>
          <w:rFonts w:asciiTheme="majorHAnsi" w:hAnsiTheme="majorHAnsi"/>
          <w:b/>
          <w:sz w:val="28"/>
          <w:szCs w:val="28"/>
        </w:rPr>
      </w:pPr>
      <w:r w:rsidRPr="008F0E3F">
        <w:rPr>
          <w:rFonts w:asciiTheme="majorHAnsi" w:hAnsiTheme="majorHAnsi"/>
          <w:b/>
          <w:sz w:val="28"/>
          <w:szCs w:val="28"/>
        </w:rPr>
        <w:lastRenderedPageBreak/>
        <w:t>Чистая прибыль в экономике</w:t>
      </w:r>
    </w:p>
    <w:tbl>
      <w:tblPr>
        <w:tblW w:w="14820" w:type="dxa"/>
        <w:jc w:val="center"/>
        <w:tblInd w:w="89" w:type="dxa"/>
        <w:tblLook w:val="04A0"/>
      </w:tblPr>
      <w:tblGrid>
        <w:gridCol w:w="6440"/>
        <w:gridCol w:w="1420"/>
        <w:gridCol w:w="1540"/>
        <w:gridCol w:w="1480"/>
        <w:gridCol w:w="1540"/>
        <w:gridCol w:w="2400"/>
      </w:tblGrid>
      <w:tr w:rsidR="00DE3C0C" w:rsidRPr="00DE3C0C" w:rsidTr="00DE3C0C">
        <w:trPr>
          <w:trHeight w:val="285"/>
          <w:jc w:val="center"/>
        </w:trPr>
        <w:tc>
          <w:tcPr>
            <w:tcW w:w="148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E3C0C" w:rsidRPr="00DE3C0C" w:rsidRDefault="00DE3C0C" w:rsidP="00C11730">
            <w:pPr>
              <w:tabs>
                <w:tab w:val="left" w:pos="10773"/>
              </w:tabs>
              <w:spacing w:after="0" w:line="240" w:lineRule="auto"/>
              <w:jc w:val="center"/>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Чистая прибыль, убыток</w:t>
            </w:r>
            <w:proofErr w:type="gramStart"/>
            <w:r w:rsidRPr="00DE3C0C">
              <w:rPr>
                <w:rFonts w:ascii="Cambria" w:eastAsia="Times New Roman" w:hAnsi="Cambria" w:cs="Arial"/>
                <w:color w:val="000000"/>
                <w:sz w:val="20"/>
                <w:szCs w:val="20"/>
                <w:lang w:eastAsia="ru-RU"/>
              </w:rPr>
              <w:t xml:space="preserve"> (-)</w:t>
            </w:r>
            <w:proofErr w:type="gramEnd"/>
          </w:p>
        </w:tc>
      </w:tr>
      <w:tr w:rsidR="00DE3C0C" w:rsidRPr="00DE3C0C" w:rsidTr="00DE3C0C">
        <w:trPr>
          <w:trHeight w:val="255"/>
          <w:jc w:val="center"/>
        </w:trPr>
        <w:tc>
          <w:tcPr>
            <w:tcW w:w="6440" w:type="dxa"/>
            <w:vMerge w:val="restart"/>
            <w:tcBorders>
              <w:top w:val="nil"/>
              <w:left w:val="single" w:sz="8" w:space="0" w:color="auto"/>
              <w:bottom w:val="single" w:sz="8" w:space="0" w:color="000000"/>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center"/>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 </w:t>
            </w:r>
          </w:p>
        </w:tc>
        <w:tc>
          <w:tcPr>
            <w:tcW w:w="1420" w:type="dxa"/>
            <w:vMerge w:val="restart"/>
            <w:tcBorders>
              <w:top w:val="nil"/>
              <w:left w:val="single" w:sz="8" w:space="0" w:color="auto"/>
              <w:bottom w:val="single" w:sz="8" w:space="0" w:color="000000"/>
              <w:right w:val="nil"/>
            </w:tcBorders>
            <w:shd w:val="clear" w:color="auto" w:fill="auto"/>
            <w:vAlign w:val="center"/>
            <w:hideMark/>
          </w:tcPr>
          <w:p w:rsidR="00DE3C0C" w:rsidRPr="00DE3C0C" w:rsidRDefault="00DE3C0C" w:rsidP="00C11730">
            <w:pPr>
              <w:tabs>
                <w:tab w:val="left" w:pos="10773"/>
              </w:tabs>
              <w:spacing w:after="0" w:line="240" w:lineRule="auto"/>
              <w:jc w:val="center"/>
              <w:rPr>
                <w:rFonts w:ascii="Cambria" w:eastAsia="Times New Roman" w:hAnsi="Cambria" w:cs="Arial"/>
                <w:color w:val="000000"/>
                <w:sz w:val="18"/>
                <w:szCs w:val="18"/>
                <w:lang w:eastAsia="ru-RU"/>
              </w:rPr>
            </w:pPr>
            <w:r w:rsidRPr="00DE3C0C">
              <w:rPr>
                <w:rFonts w:ascii="Cambria" w:eastAsia="Times New Roman" w:hAnsi="Cambria" w:cs="Arial"/>
                <w:color w:val="000000"/>
                <w:sz w:val="18"/>
                <w:szCs w:val="18"/>
                <w:lang w:eastAsia="ru-RU"/>
              </w:rPr>
              <w:t>январь 2013 г.</w:t>
            </w:r>
          </w:p>
        </w:tc>
        <w:tc>
          <w:tcPr>
            <w:tcW w:w="1540" w:type="dxa"/>
            <w:vMerge w:val="restart"/>
            <w:tcBorders>
              <w:top w:val="nil"/>
              <w:left w:val="single" w:sz="4" w:space="0" w:color="auto"/>
              <w:bottom w:val="single" w:sz="8" w:space="0" w:color="000000"/>
              <w:right w:val="nil"/>
            </w:tcBorders>
            <w:shd w:val="clear" w:color="auto" w:fill="auto"/>
            <w:vAlign w:val="center"/>
            <w:hideMark/>
          </w:tcPr>
          <w:p w:rsidR="00DE3C0C" w:rsidRPr="00DE3C0C" w:rsidRDefault="00DE3C0C" w:rsidP="00C11730">
            <w:pPr>
              <w:tabs>
                <w:tab w:val="left" w:pos="10773"/>
              </w:tabs>
              <w:spacing w:after="0" w:line="240" w:lineRule="auto"/>
              <w:jc w:val="center"/>
              <w:rPr>
                <w:rFonts w:ascii="Cambria" w:eastAsia="Times New Roman" w:hAnsi="Cambria" w:cs="Arial"/>
                <w:color w:val="000000"/>
                <w:sz w:val="18"/>
                <w:szCs w:val="18"/>
                <w:lang w:eastAsia="ru-RU"/>
              </w:rPr>
            </w:pPr>
            <w:r w:rsidRPr="00DE3C0C">
              <w:rPr>
                <w:rFonts w:ascii="Cambria" w:eastAsia="Times New Roman" w:hAnsi="Cambria" w:cs="Arial"/>
                <w:color w:val="000000"/>
                <w:sz w:val="18"/>
                <w:szCs w:val="18"/>
                <w:lang w:eastAsia="ru-RU"/>
              </w:rPr>
              <w:t>январь-февраль 2013 г.</w:t>
            </w:r>
          </w:p>
        </w:tc>
        <w:tc>
          <w:tcPr>
            <w:tcW w:w="1480" w:type="dxa"/>
            <w:vMerge w:val="restart"/>
            <w:tcBorders>
              <w:top w:val="nil"/>
              <w:left w:val="single" w:sz="8" w:space="0" w:color="auto"/>
              <w:bottom w:val="single" w:sz="8" w:space="0" w:color="000000"/>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center"/>
              <w:rPr>
                <w:rFonts w:ascii="Cambria" w:eastAsia="Times New Roman" w:hAnsi="Cambria" w:cs="Arial"/>
                <w:color w:val="000000"/>
                <w:sz w:val="18"/>
                <w:szCs w:val="18"/>
                <w:lang w:eastAsia="ru-RU"/>
              </w:rPr>
            </w:pPr>
            <w:r w:rsidRPr="00DE3C0C">
              <w:rPr>
                <w:rFonts w:ascii="Cambria" w:eastAsia="Times New Roman" w:hAnsi="Cambria" w:cs="Arial"/>
                <w:color w:val="000000"/>
                <w:sz w:val="18"/>
                <w:szCs w:val="18"/>
                <w:lang w:eastAsia="ru-RU"/>
              </w:rPr>
              <w:t>январь  2014 г.</w:t>
            </w:r>
          </w:p>
        </w:tc>
        <w:tc>
          <w:tcPr>
            <w:tcW w:w="1540" w:type="dxa"/>
            <w:vMerge w:val="restart"/>
            <w:tcBorders>
              <w:top w:val="nil"/>
              <w:left w:val="nil"/>
              <w:bottom w:val="single" w:sz="8" w:space="0" w:color="000000"/>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center"/>
              <w:rPr>
                <w:rFonts w:ascii="Cambria" w:eastAsia="Times New Roman" w:hAnsi="Cambria" w:cs="Arial"/>
                <w:color w:val="000000"/>
                <w:sz w:val="18"/>
                <w:szCs w:val="18"/>
                <w:lang w:eastAsia="ru-RU"/>
              </w:rPr>
            </w:pPr>
            <w:r w:rsidRPr="00DE3C0C">
              <w:rPr>
                <w:rFonts w:ascii="Cambria" w:eastAsia="Times New Roman" w:hAnsi="Cambria" w:cs="Arial"/>
                <w:color w:val="000000"/>
                <w:sz w:val="18"/>
                <w:szCs w:val="18"/>
                <w:lang w:eastAsia="ru-RU"/>
              </w:rPr>
              <w:t>январь-февраль 2014 г.</w:t>
            </w:r>
          </w:p>
        </w:tc>
        <w:tc>
          <w:tcPr>
            <w:tcW w:w="2400" w:type="dxa"/>
            <w:vMerge w:val="restart"/>
            <w:tcBorders>
              <w:top w:val="nil"/>
              <w:left w:val="nil"/>
              <w:bottom w:val="nil"/>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center"/>
              <w:rPr>
                <w:rFonts w:ascii="Cambria" w:eastAsia="Times New Roman" w:hAnsi="Cambria" w:cs="Arial"/>
                <w:color w:val="000000"/>
                <w:sz w:val="18"/>
                <w:szCs w:val="18"/>
                <w:lang w:eastAsia="ru-RU"/>
              </w:rPr>
            </w:pPr>
            <w:r w:rsidRPr="00DE3C0C">
              <w:rPr>
                <w:rFonts w:ascii="Cambria" w:eastAsia="Times New Roman" w:hAnsi="Cambria" w:cs="Arial"/>
                <w:color w:val="000000"/>
                <w:sz w:val="18"/>
                <w:szCs w:val="18"/>
                <w:lang w:eastAsia="ru-RU"/>
              </w:rPr>
              <w:t>Изменение чистой прибыли январь-февраль 2014 г. К январю-февралю 2013 г.</w:t>
            </w:r>
          </w:p>
        </w:tc>
      </w:tr>
      <w:tr w:rsidR="00DE3C0C" w:rsidRPr="00DE3C0C" w:rsidTr="00DE3C0C">
        <w:trPr>
          <w:trHeight w:val="1275"/>
          <w:jc w:val="center"/>
        </w:trPr>
        <w:tc>
          <w:tcPr>
            <w:tcW w:w="6440" w:type="dxa"/>
            <w:vMerge/>
            <w:tcBorders>
              <w:top w:val="nil"/>
              <w:left w:val="single" w:sz="8" w:space="0" w:color="auto"/>
              <w:bottom w:val="single" w:sz="8" w:space="0" w:color="000000"/>
              <w:right w:val="single" w:sz="8" w:space="0" w:color="auto"/>
            </w:tcBorders>
            <w:vAlign w:val="center"/>
            <w:hideMark/>
          </w:tcPr>
          <w:p w:rsidR="00DE3C0C" w:rsidRPr="00DE3C0C" w:rsidRDefault="00DE3C0C" w:rsidP="00C11730">
            <w:pPr>
              <w:tabs>
                <w:tab w:val="left" w:pos="10773"/>
              </w:tabs>
              <w:spacing w:after="0" w:line="240" w:lineRule="auto"/>
              <w:rPr>
                <w:rFonts w:ascii="Cambria" w:eastAsia="Times New Roman" w:hAnsi="Cambria" w:cs="Arial"/>
                <w:color w:val="000000"/>
                <w:sz w:val="20"/>
                <w:szCs w:val="20"/>
                <w:lang w:eastAsia="ru-RU"/>
              </w:rPr>
            </w:pPr>
          </w:p>
        </w:tc>
        <w:tc>
          <w:tcPr>
            <w:tcW w:w="1420" w:type="dxa"/>
            <w:vMerge/>
            <w:tcBorders>
              <w:top w:val="nil"/>
              <w:left w:val="single" w:sz="8" w:space="0" w:color="auto"/>
              <w:bottom w:val="single" w:sz="8" w:space="0" w:color="000000"/>
              <w:right w:val="nil"/>
            </w:tcBorders>
            <w:vAlign w:val="center"/>
            <w:hideMark/>
          </w:tcPr>
          <w:p w:rsidR="00DE3C0C" w:rsidRPr="00DE3C0C" w:rsidRDefault="00DE3C0C" w:rsidP="00C11730">
            <w:pPr>
              <w:tabs>
                <w:tab w:val="left" w:pos="10773"/>
              </w:tabs>
              <w:spacing w:after="0" w:line="240" w:lineRule="auto"/>
              <w:rPr>
                <w:rFonts w:ascii="Cambria" w:eastAsia="Times New Roman" w:hAnsi="Cambria" w:cs="Arial"/>
                <w:color w:val="000000"/>
                <w:sz w:val="20"/>
                <w:szCs w:val="20"/>
                <w:lang w:eastAsia="ru-RU"/>
              </w:rPr>
            </w:pPr>
          </w:p>
        </w:tc>
        <w:tc>
          <w:tcPr>
            <w:tcW w:w="1540" w:type="dxa"/>
            <w:vMerge/>
            <w:tcBorders>
              <w:top w:val="nil"/>
              <w:left w:val="single" w:sz="4" w:space="0" w:color="auto"/>
              <w:bottom w:val="single" w:sz="8" w:space="0" w:color="000000"/>
              <w:right w:val="nil"/>
            </w:tcBorders>
            <w:vAlign w:val="center"/>
            <w:hideMark/>
          </w:tcPr>
          <w:p w:rsidR="00DE3C0C" w:rsidRPr="00DE3C0C" w:rsidRDefault="00DE3C0C" w:rsidP="00C11730">
            <w:pPr>
              <w:tabs>
                <w:tab w:val="left" w:pos="10773"/>
              </w:tabs>
              <w:spacing w:after="0" w:line="240" w:lineRule="auto"/>
              <w:rPr>
                <w:rFonts w:ascii="Cambria" w:eastAsia="Times New Roman" w:hAnsi="Cambria" w:cs="Arial"/>
                <w:color w:val="000000"/>
                <w:sz w:val="20"/>
                <w:szCs w:val="20"/>
                <w:lang w:eastAsia="ru-RU"/>
              </w:rPr>
            </w:pPr>
          </w:p>
        </w:tc>
        <w:tc>
          <w:tcPr>
            <w:tcW w:w="1480" w:type="dxa"/>
            <w:vMerge/>
            <w:tcBorders>
              <w:top w:val="nil"/>
              <w:left w:val="single" w:sz="8" w:space="0" w:color="auto"/>
              <w:bottom w:val="single" w:sz="8" w:space="0" w:color="000000"/>
              <w:right w:val="single" w:sz="4" w:space="0" w:color="auto"/>
            </w:tcBorders>
            <w:vAlign w:val="center"/>
            <w:hideMark/>
          </w:tcPr>
          <w:p w:rsidR="00DE3C0C" w:rsidRPr="00DE3C0C" w:rsidRDefault="00DE3C0C" w:rsidP="00C11730">
            <w:pPr>
              <w:tabs>
                <w:tab w:val="left" w:pos="10773"/>
              </w:tabs>
              <w:spacing w:after="0" w:line="240" w:lineRule="auto"/>
              <w:rPr>
                <w:rFonts w:ascii="Cambria" w:eastAsia="Times New Roman" w:hAnsi="Cambria" w:cs="Arial"/>
                <w:color w:val="000000"/>
                <w:sz w:val="20"/>
                <w:szCs w:val="20"/>
                <w:lang w:eastAsia="ru-RU"/>
              </w:rPr>
            </w:pPr>
          </w:p>
        </w:tc>
        <w:tc>
          <w:tcPr>
            <w:tcW w:w="1540" w:type="dxa"/>
            <w:vMerge/>
            <w:tcBorders>
              <w:top w:val="nil"/>
              <w:left w:val="nil"/>
              <w:bottom w:val="single" w:sz="8" w:space="0" w:color="000000"/>
              <w:right w:val="single" w:sz="8" w:space="0" w:color="auto"/>
            </w:tcBorders>
            <w:vAlign w:val="center"/>
            <w:hideMark/>
          </w:tcPr>
          <w:p w:rsidR="00DE3C0C" w:rsidRPr="00DE3C0C" w:rsidRDefault="00DE3C0C" w:rsidP="00C11730">
            <w:pPr>
              <w:tabs>
                <w:tab w:val="left" w:pos="10773"/>
              </w:tabs>
              <w:spacing w:after="0" w:line="240" w:lineRule="auto"/>
              <w:rPr>
                <w:rFonts w:ascii="Cambria" w:eastAsia="Times New Roman" w:hAnsi="Cambria" w:cs="Arial"/>
                <w:color w:val="000000"/>
                <w:sz w:val="20"/>
                <w:szCs w:val="20"/>
                <w:lang w:eastAsia="ru-RU"/>
              </w:rPr>
            </w:pPr>
          </w:p>
        </w:tc>
        <w:tc>
          <w:tcPr>
            <w:tcW w:w="2400" w:type="dxa"/>
            <w:vMerge/>
            <w:tcBorders>
              <w:top w:val="nil"/>
              <w:left w:val="nil"/>
              <w:bottom w:val="nil"/>
              <w:right w:val="single" w:sz="8" w:space="0" w:color="auto"/>
            </w:tcBorders>
            <w:vAlign w:val="center"/>
            <w:hideMark/>
          </w:tcPr>
          <w:p w:rsidR="00DE3C0C" w:rsidRPr="00DE3C0C" w:rsidRDefault="00DE3C0C" w:rsidP="00C11730">
            <w:pPr>
              <w:tabs>
                <w:tab w:val="left" w:pos="10773"/>
              </w:tabs>
              <w:spacing w:after="0" w:line="240" w:lineRule="auto"/>
              <w:rPr>
                <w:rFonts w:ascii="Cambria" w:eastAsia="Times New Roman" w:hAnsi="Cambria" w:cs="Arial"/>
                <w:color w:val="000000"/>
                <w:sz w:val="20"/>
                <w:szCs w:val="20"/>
                <w:lang w:eastAsia="ru-RU"/>
              </w:rPr>
            </w:pPr>
          </w:p>
        </w:tc>
      </w:tr>
      <w:tr w:rsidR="00DE3C0C" w:rsidRPr="00DE3C0C" w:rsidTr="00DE3C0C">
        <w:trPr>
          <w:trHeight w:val="270"/>
          <w:jc w:val="center"/>
        </w:trPr>
        <w:tc>
          <w:tcPr>
            <w:tcW w:w="6440" w:type="dxa"/>
            <w:tcBorders>
              <w:top w:val="nil"/>
              <w:left w:val="single" w:sz="8" w:space="0" w:color="auto"/>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Республика Беларусь</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3 639 981</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7 741 858</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2 490 523</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4 842 869</w:t>
            </w:r>
          </w:p>
        </w:tc>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-2 898 989</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сельское хозяйство, охота и лесное хозяйство</w:t>
            </w:r>
          </w:p>
        </w:tc>
        <w:tc>
          <w:tcPr>
            <w:tcW w:w="1420" w:type="dxa"/>
            <w:tcBorders>
              <w:top w:val="nil"/>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506 815</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982 688</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317 887</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691 645</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-291 043</w:t>
            </w:r>
          </w:p>
        </w:tc>
      </w:tr>
      <w:tr w:rsidR="00DE3C0C" w:rsidRPr="00DE3C0C" w:rsidTr="00DE3C0C">
        <w:trPr>
          <w:trHeight w:val="510"/>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сельское хозяйство, охота и предоставление услуг в этих областях</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503 428</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973 814</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307 337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668 033</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-305 781</w:t>
            </w:r>
          </w:p>
        </w:tc>
      </w:tr>
      <w:tr w:rsidR="00DE3C0C" w:rsidRPr="00DE3C0C" w:rsidTr="00DE3C0C">
        <w:trPr>
          <w:trHeight w:val="255"/>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сельское хозяйство</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503 449</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973 429</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307 364</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668 123</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-305 306</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лесное хозяйство и предоставление услуг в этой области</w:t>
            </w:r>
          </w:p>
        </w:tc>
        <w:tc>
          <w:tcPr>
            <w:tcW w:w="1420" w:type="dxa"/>
            <w:tcBorders>
              <w:top w:val="nil"/>
              <w:left w:val="nil"/>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3 387</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8 874</w:t>
            </w:r>
          </w:p>
        </w:tc>
        <w:tc>
          <w:tcPr>
            <w:tcW w:w="148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10 550</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23 612</w:t>
            </w:r>
          </w:p>
        </w:tc>
        <w:tc>
          <w:tcPr>
            <w:tcW w:w="2400" w:type="dxa"/>
            <w:tcBorders>
              <w:top w:val="nil"/>
              <w:left w:val="single" w:sz="8" w:space="0" w:color="auto"/>
              <w:bottom w:val="nil"/>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14 738</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рыболовство, рыбоводство</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-745</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-2 510</w:t>
            </w:r>
          </w:p>
        </w:tc>
        <w:tc>
          <w:tcPr>
            <w:tcW w:w="14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-7 365</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-15 008</w:t>
            </w:r>
          </w:p>
        </w:tc>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-12 498</w:t>
            </w:r>
          </w:p>
        </w:tc>
      </w:tr>
      <w:tr w:rsidR="00DE3C0C" w:rsidRPr="00DE3C0C" w:rsidTr="00DE3C0C">
        <w:trPr>
          <w:trHeight w:val="270"/>
          <w:jc w:val="center"/>
        </w:trPr>
        <w:tc>
          <w:tcPr>
            <w:tcW w:w="6440" w:type="dxa"/>
            <w:tcBorders>
              <w:top w:val="nil"/>
              <w:left w:val="single" w:sz="8" w:space="0" w:color="auto"/>
              <w:bottom w:val="nil"/>
              <w:right w:val="nil"/>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промышленность</w:t>
            </w:r>
          </w:p>
        </w:tc>
        <w:tc>
          <w:tcPr>
            <w:tcW w:w="142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1 903 081</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4 208 568</w:t>
            </w:r>
          </w:p>
        </w:tc>
        <w:tc>
          <w:tcPr>
            <w:tcW w:w="148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701 485</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1 785 150</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-2 423 418</w:t>
            </w:r>
          </w:p>
        </w:tc>
      </w:tr>
      <w:tr w:rsidR="00DE3C0C" w:rsidRPr="00DE3C0C" w:rsidTr="00DE3C0C">
        <w:trPr>
          <w:trHeight w:val="270"/>
          <w:jc w:val="center"/>
        </w:trPr>
        <w:tc>
          <w:tcPr>
            <w:tcW w:w="6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ind w:firstLineChars="100" w:firstLine="201"/>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горнодобывающая промышленность</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232 220</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403 716</w:t>
            </w:r>
          </w:p>
        </w:tc>
        <w:tc>
          <w:tcPr>
            <w:tcW w:w="14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217 476</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277 395</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i/>
                <w:iCs/>
                <w:sz w:val="20"/>
                <w:szCs w:val="20"/>
                <w:lang w:eastAsia="ru-RU"/>
              </w:rPr>
            </w:pPr>
            <w:r w:rsidRPr="00DE3C0C">
              <w:rPr>
                <w:rFonts w:ascii="Cambria" w:eastAsia="Times New Roman" w:hAnsi="Cambria" w:cs="Arial"/>
                <w:b/>
                <w:bCs/>
                <w:i/>
                <w:iCs/>
                <w:sz w:val="20"/>
                <w:szCs w:val="20"/>
                <w:lang w:eastAsia="ru-RU"/>
              </w:rPr>
              <w:t>-126 321</w:t>
            </w:r>
          </w:p>
        </w:tc>
      </w:tr>
      <w:tr w:rsidR="00DE3C0C" w:rsidRPr="00DE3C0C" w:rsidTr="00DE3C0C">
        <w:trPr>
          <w:trHeight w:val="255"/>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добыча топливно-энергетических полезных ископаемых</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208 257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362 762</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200 971</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250 796</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-111 966</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 xml:space="preserve">добыча полезных ископаемых, </w:t>
            </w:r>
            <w:proofErr w:type="gramStart"/>
            <w:r w:rsidRPr="00DE3C0C">
              <w:rPr>
                <w:rFonts w:ascii="Cambria" w:eastAsia="Times New Roman" w:hAnsi="Cambria" w:cs="Arial"/>
                <w:i/>
                <w:iCs/>
                <w:color w:val="000000"/>
                <w:sz w:val="20"/>
                <w:szCs w:val="20"/>
                <w:lang w:eastAsia="ru-RU"/>
              </w:rPr>
              <w:t>кроме</w:t>
            </w:r>
            <w:proofErr w:type="gramEnd"/>
            <w:r w:rsidRPr="00DE3C0C">
              <w:rPr>
                <w:rFonts w:ascii="Cambria" w:eastAsia="Times New Roman" w:hAnsi="Cambria" w:cs="Arial"/>
                <w:i/>
                <w:iCs/>
                <w:color w:val="000000"/>
                <w:sz w:val="20"/>
                <w:szCs w:val="20"/>
                <w:lang w:eastAsia="ru-RU"/>
              </w:rPr>
              <w:t xml:space="preserve"> топливно-энергетических</w:t>
            </w:r>
          </w:p>
        </w:tc>
        <w:tc>
          <w:tcPr>
            <w:tcW w:w="1420" w:type="dxa"/>
            <w:tcBorders>
              <w:top w:val="nil"/>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23 963</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40 954</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16 505</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26 599</w:t>
            </w:r>
          </w:p>
        </w:tc>
        <w:tc>
          <w:tcPr>
            <w:tcW w:w="2400" w:type="dxa"/>
            <w:tcBorders>
              <w:top w:val="nil"/>
              <w:left w:val="single" w:sz="8" w:space="0" w:color="auto"/>
              <w:bottom w:val="nil"/>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-14 355</w:t>
            </w:r>
          </w:p>
        </w:tc>
      </w:tr>
      <w:tr w:rsidR="00DE3C0C" w:rsidRPr="00DE3C0C" w:rsidTr="00DE3C0C">
        <w:trPr>
          <w:trHeight w:val="270"/>
          <w:jc w:val="center"/>
        </w:trPr>
        <w:tc>
          <w:tcPr>
            <w:tcW w:w="6440" w:type="dxa"/>
            <w:tcBorders>
              <w:top w:val="nil"/>
              <w:left w:val="single" w:sz="8" w:space="0" w:color="auto"/>
              <w:bottom w:val="nil"/>
              <w:right w:val="nil"/>
            </w:tcBorders>
            <w:shd w:val="clear" w:color="auto" w:fill="auto"/>
            <w:vAlign w:val="center"/>
            <w:hideMark/>
          </w:tcPr>
          <w:p w:rsidR="00DE3C0C" w:rsidRPr="00DE3C0C" w:rsidRDefault="00DE3C0C" w:rsidP="00C11730">
            <w:pPr>
              <w:tabs>
                <w:tab w:val="left" w:pos="10773"/>
              </w:tabs>
              <w:spacing w:after="0" w:line="240" w:lineRule="auto"/>
              <w:ind w:firstLineChars="100" w:firstLine="201"/>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обрабатывающая промышленность</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1 502 989</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3 410 586</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284 842</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923 234</w:t>
            </w:r>
          </w:p>
        </w:tc>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i/>
                <w:iCs/>
                <w:sz w:val="20"/>
                <w:szCs w:val="20"/>
                <w:lang w:eastAsia="ru-RU"/>
              </w:rPr>
            </w:pPr>
            <w:r w:rsidRPr="00DE3C0C">
              <w:rPr>
                <w:rFonts w:ascii="Cambria" w:eastAsia="Times New Roman" w:hAnsi="Cambria" w:cs="Arial"/>
                <w:b/>
                <w:bCs/>
                <w:i/>
                <w:iCs/>
                <w:sz w:val="20"/>
                <w:szCs w:val="20"/>
                <w:lang w:eastAsia="ru-RU"/>
              </w:rPr>
              <w:t>-2 487 352</w:t>
            </w:r>
          </w:p>
        </w:tc>
      </w:tr>
      <w:tr w:rsidR="00DE3C0C" w:rsidRPr="00DE3C0C" w:rsidTr="00DE3C0C">
        <w:trPr>
          <w:trHeight w:val="255"/>
          <w:jc w:val="center"/>
        </w:trPr>
        <w:tc>
          <w:tcPr>
            <w:tcW w:w="6440" w:type="dxa"/>
            <w:tcBorders>
              <w:top w:val="single" w:sz="8" w:space="0" w:color="auto"/>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производство пищевых продуктов, включая напитки, и табака</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345 972</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673 643</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176 457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275 466</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-398 177</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текстильное и швейное производство</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110 661</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216 049</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20 475</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38 608</w:t>
            </w:r>
          </w:p>
        </w:tc>
        <w:tc>
          <w:tcPr>
            <w:tcW w:w="2400" w:type="dxa"/>
            <w:tcBorders>
              <w:top w:val="nil"/>
              <w:left w:val="single" w:sz="8" w:space="0" w:color="auto"/>
              <w:bottom w:val="single" w:sz="4" w:space="0" w:color="auto"/>
              <w:right w:val="single" w:sz="8" w:space="0" w:color="auto"/>
            </w:tcBorders>
            <w:shd w:val="clear" w:color="auto" w:fill="auto"/>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-177 441</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производство кожи, изделий из кожи и производство обуви</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17 214</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53 613</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4 845</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20 362</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-33 251</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обработка древесины и производство изделий из дерева</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-2 153</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-9 616</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13 135</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14 753</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24 369</w:t>
            </w:r>
          </w:p>
        </w:tc>
      </w:tr>
      <w:tr w:rsidR="00DE3C0C" w:rsidRPr="00DE3C0C" w:rsidTr="00DE3C0C">
        <w:trPr>
          <w:trHeight w:val="510"/>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целлюлозно-бумажное производство. Издательская деятельность</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14 576</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32 397</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-3 038</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-21 306</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-53 703</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производство кокса, нефтепродуктов и ядерных материалов</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306 717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555 477</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192 627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513 625</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-41 852</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химическое производство</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44 987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398 009</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327 129</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882 302</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484 293</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производство резиновых и пластмассовых изделий</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138 280</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312 066</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18 067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40 561</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-271 505</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производство прочих неметаллических минеральных продуктов</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-143 144</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-190 139</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-198 405</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-380 445</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-190 306</w:t>
            </w:r>
          </w:p>
        </w:tc>
      </w:tr>
      <w:tr w:rsidR="00DE3C0C" w:rsidRPr="00DE3C0C" w:rsidTr="00DE3C0C">
        <w:trPr>
          <w:trHeight w:val="510"/>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металлургическое производство и производство готовых металлических изделий</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32 760</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92 397</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-18 859</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-90 650</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-183 047</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производство машин и оборудования</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346 083</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655 423</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-369 339</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-503 062</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-1 158 485</w:t>
            </w:r>
          </w:p>
        </w:tc>
      </w:tr>
      <w:tr w:rsidR="00DE3C0C" w:rsidRPr="00DE3C0C" w:rsidTr="00DE3C0C">
        <w:trPr>
          <w:trHeight w:val="510"/>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производство электрооборудования, электронного и оптического оборудования</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75 429</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155 391</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11 361</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32 835</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-122 556</w:t>
            </w:r>
          </w:p>
        </w:tc>
      </w:tr>
      <w:tr w:rsidR="00DE3C0C" w:rsidRPr="00DE3C0C" w:rsidTr="00DE3C0C">
        <w:trPr>
          <w:trHeight w:val="255"/>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производство транспортных средств и оборудования</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47 037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147 338</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54 760</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-32 697</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-180 035</w:t>
            </w:r>
          </w:p>
        </w:tc>
      </w:tr>
      <w:tr w:rsidR="00DE3C0C" w:rsidRPr="00DE3C0C" w:rsidTr="00DE3C0C">
        <w:trPr>
          <w:trHeight w:val="270"/>
          <w:jc w:val="center"/>
        </w:trPr>
        <w:tc>
          <w:tcPr>
            <w:tcW w:w="6440" w:type="dxa"/>
            <w:tcBorders>
              <w:top w:val="nil"/>
              <w:left w:val="single" w:sz="8" w:space="0" w:color="auto"/>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200" w:firstLine="400"/>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прочие отрасли промышленности</w:t>
            </w:r>
          </w:p>
        </w:tc>
        <w:tc>
          <w:tcPr>
            <w:tcW w:w="142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168 570</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318 538</w:t>
            </w:r>
          </w:p>
        </w:tc>
        <w:tc>
          <w:tcPr>
            <w:tcW w:w="148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55 627</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132 882</w:t>
            </w:r>
          </w:p>
        </w:tc>
        <w:tc>
          <w:tcPr>
            <w:tcW w:w="2400" w:type="dxa"/>
            <w:tcBorders>
              <w:top w:val="nil"/>
              <w:left w:val="single" w:sz="8" w:space="0" w:color="auto"/>
              <w:bottom w:val="nil"/>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-185 656</w:t>
            </w:r>
          </w:p>
        </w:tc>
      </w:tr>
      <w:tr w:rsidR="00DE3C0C" w:rsidRPr="00DE3C0C" w:rsidTr="00DE3C0C">
        <w:trPr>
          <w:trHeight w:val="270"/>
          <w:jc w:val="center"/>
        </w:trPr>
        <w:tc>
          <w:tcPr>
            <w:tcW w:w="6440" w:type="dxa"/>
            <w:tcBorders>
              <w:top w:val="nil"/>
              <w:left w:val="single" w:sz="8" w:space="0" w:color="auto"/>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ind w:firstLineChars="100" w:firstLine="201"/>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lastRenderedPageBreak/>
              <w:t>производство и распределение электроэнергии, газа и воды</w:t>
            </w:r>
          </w:p>
        </w:tc>
        <w:tc>
          <w:tcPr>
            <w:tcW w:w="14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167 872</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394 266</w:t>
            </w:r>
          </w:p>
        </w:tc>
        <w:tc>
          <w:tcPr>
            <w:tcW w:w="14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199 167</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i/>
                <w:iCs/>
                <w:color w:val="000000"/>
                <w:sz w:val="20"/>
                <w:szCs w:val="20"/>
                <w:lang w:eastAsia="ru-RU"/>
              </w:rPr>
            </w:pPr>
            <w:r w:rsidRPr="00DE3C0C">
              <w:rPr>
                <w:rFonts w:ascii="Cambria" w:eastAsia="Times New Roman" w:hAnsi="Cambria" w:cs="Arial"/>
                <w:b/>
                <w:bCs/>
                <w:i/>
                <w:iCs/>
                <w:color w:val="000000"/>
                <w:sz w:val="20"/>
                <w:szCs w:val="20"/>
                <w:lang w:eastAsia="ru-RU"/>
              </w:rPr>
              <w:t>584 521</w:t>
            </w:r>
          </w:p>
        </w:tc>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i/>
                <w:iCs/>
                <w:sz w:val="20"/>
                <w:szCs w:val="20"/>
                <w:lang w:eastAsia="ru-RU"/>
              </w:rPr>
            </w:pPr>
            <w:r w:rsidRPr="00DE3C0C">
              <w:rPr>
                <w:rFonts w:ascii="Cambria" w:eastAsia="Times New Roman" w:hAnsi="Cambria" w:cs="Arial"/>
                <w:b/>
                <w:bCs/>
                <w:i/>
                <w:iCs/>
                <w:sz w:val="20"/>
                <w:szCs w:val="20"/>
                <w:lang w:eastAsia="ru-RU"/>
              </w:rPr>
              <w:t>190 255</w:t>
            </w:r>
          </w:p>
        </w:tc>
      </w:tr>
      <w:tr w:rsidR="00DE3C0C" w:rsidRPr="00DE3C0C" w:rsidTr="00DE3C0C">
        <w:trPr>
          <w:trHeight w:val="510"/>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производство и распределение электроэнергии, газа, пара и горячей воды</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160 970</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388 782</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193 888</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575 640</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186 858</w:t>
            </w:r>
          </w:p>
        </w:tc>
      </w:tr>
      <w:tr w:rsidR="00DE3C0C" w:rsidRPr="00DE3C0C" w:rsidTr="00DE3C0C">
        <w:trPr>
          <w:trHeight w:val="270"/>
          <w:jc w:val="center"/>
        </w:trPr>
        <w:tc>
          <w:tcPr>
            <w:tcW w:w="6440" w:type="dxa"/>
            <w:tcBorders>
              <w:top w:val="nil"/>
              <w:left w:val="single" w:sz="8" w:space="0" w:color="auto"/>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сбор, очистка и распределение воды</w:t>
            </w:r>
          </w:p>
        </w:tc>
        <w:tc>
          <w:tcPr>
            <w:tcW w:w="142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6 902</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5 484</w:t>
            </w:r>
          </w:p>
        </w:tc>
        <w:tc>
          <w:tcPr>
            <w:tcW w:w="148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5 279</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8 881</w:t>
            </w:r>
          </w:p>
        </w:tc>
        <w:tc>
          <w:tcPr>
            <w:tcW w:w="2400" w:type="dxa"/>
            <w:tcBorders>
              <w:top w:val="nil"/>
              <w:left w:val="single" w:sz="8" w:space="0" w:color="auto"/>
              <w:bottom w:val="nil"/>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3 397</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строительство</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110 241</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249 054</w:t>
            </w:r>
          </w:p>
        </w:tc>
        <w:tc>
          <w:tcPr>
            <w:tcW w:w="14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138 044</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286 600</w:t>
            </w:r>
          </w:p>
        </w:tc>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37 546</w:t>
            </w:r>
          </w:p>
        </w:tc>
      </w:tr>
      <w:tr w:rsidR="00DE3C0C" w:rsidRPr="00DE3C0C" w:rsidTr="00DE3C0C">
        <w:trPr>
          <w:trHeight w:val="525"/>
          <w:jc w:val="center"/>
        </w:trPr>
        <w:tc>
          <w:tcPr>
            <w:tcW w:w="6440" w:type="dxa"/>
            <w:tcBorders>
              <w:top w:val="nil"/>
              <w:left w:val="single" w:sz="8" w:space="0" w:color="auto"/>
              <w:bottom w:val="nil"/>
              <w:right w:val="nil"/>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торговля; ремонт автомобилей, бытовых изделий и предметов личного пользования</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374 652</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873 699</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193 723</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443 366</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-430 333</w:t>
            </w:r>
          </w:p>
        </w:tc>
      </w:tr>
      <w:tr w:rsidR="00DE3C0C" w:rsidRPr="00DE3C0C" w:rsidTr="00DE3C0C">
        <w:trPr>
          <w:trHeight w:val="510"/>
          <w:jc w:val="center"/>
        </w:trPr>
        <w:tc>
          <w:tcPr>
            <w:tcW w:w="6440" w:type="dxa"/>
            <w:tcBorders>
              <w:top w:val="single" w:sz="8" w:space="0" w:color="auto"/>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торговля автомобилями и мотоциклами, их техническое обслуживание и ремонт</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61 168</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125 269</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38 244</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93 776</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-31 493</w:t>
            </w:r>
          </w:p>
        </w:tc>
      </w:tr>
      <w:tr w:rsidR="00DE3C0C" w:rsidRPr="00DE3C0C" w:rsidTr="00DE3C0C">
        <w:trPr>
          <w:trHeight w:val="510"/>
          <w:jc w:val="center"/>
        </w:trPr>
        <w:tc>
          <w:tcPr>
            <w:tcW w:w="6440" w:type="dxa"/>
            <w:tcBorders>
              <w:top w:val="nil"/>
              <w:left w:val="single" w:sz="8" w:space="0" w:color="auto"/>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оптовая торговля и торговля через агентов, кроме торговли автомобилями и мотоциклами</w:t>
            </w:r>
          </w:p>
        </w:tc>
        <w:tc>
          <w:tcPr>
            <w:tcW w:w="142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203 187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518 251</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70 325</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209 121</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-309 130</w:t>
            </w:r>
          </w:p>
        </w:tc>
      </w:tr>
      <w:tr w:rsidR="00DE3C0C" w:rsidRPr="00DE3C0C" w:rsidTr="00DE3C0C">
        <w:trPr>
          <w:trHeight w:val="780"/>
          <w:jc w:val="center"/>
        </w:trPr>
        <w:tc>
          <w:tcPr>
            <w:tcW w:w="6440" w:type="dxa"/>
            <w:tcBorders>
              <w:top w:val="nil"/>
              <w:left w:val="single" w:sz="8" w:space="0" w:color="auto"/>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розничная торговля, кроме торговли автомобилями и мотоциклами; ремонт бытовых изделий и предметов личного пользования</w:t>
            </w:r>
          </w:p>
        </w:tc>
        <w:tc>
          <w:tcPr>
            <w:tcW w:w="142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110 297</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230 179</w:t>
            </w:r>
          </w:p>
        </w:tc>
        <w:tc>
          <w:tcPr>
            <w:tcW w:w="148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85 154</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140 469</w:t>
            </w:r>
          </w:p>
        </w:tc>
        <w:tc>
          <w:tcPr>
            <w:tcW w:w="2400" w:type="dxa"/>
            <w:tcBorders>
              <w:top w:val="nil"/>
              <w:left w:val="single" w:sz="8" w:space="0" w:color="auto"/>
              <w:bottom w:val="nil"/>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-89 710</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гостиницы и рестораны</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13 063</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24 287</w:t>
            </w:r>
          </w:p>
        </w:tc>
        <w:tc>
          <w:tcPr>
            <w:tcW w:w="14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7 857</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11 829</w:t>
            </w:r>
          </w:p>
        </w:tc>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-12 458</w:t>
            </w:r>
          </w:p>
        </w:tc>
      </w:tr>
      <w:tr w:rsidR="00DE3C0C" w:rsidRPr="00DE3C0C" w:rsidTr="00DE3C0C">
        <w:trPr>
          <w:trHeight w:val="270"/>
          <w:jc w:val="center"/>
        </w:trPr>
        <w:tc>
          <w:tcPr>
            <w:tcW w:w="6440" w:type="dxa"/>
            <w:tcBorders>
              <w:top w:val="nil"/>
              <w:left w:val="single" w:sz="8" w:space="0" w:color="auto"/>
              <w:bottom w:val="nil"/>
              <w:right w:val="nil"/>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транспорт</w:t>
            </w:r>
          </w:p>
        </w:tc>
        <w:tc>
          <w:tcPr>
            <w:tcW w:w="142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83 318</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357 288</w:t>
            </w:r>
          </w:p>
        </w:tc>
        <w:tc>
          <w:tcPr>
            <w:tcW w:w="148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413 948</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680 328</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323 040</w:t>
            </w:r>
          </w:p>
        </w:tc>
      </w:tr>
      <w:tr w:rsidR="00DE3C0C" w:rsidRPr="00DE3C0C" w:rsidTr="00DE3C0C">
        <w:trPr>
          <w:trHeight w:val="255"/>
          <w:jc w:val="center"/>
        </w:trPr>
        <w:tc>
          <w:tcPr>
            <w:tcW w:w="644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деятельность сухопутного транспорта</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43 158</w:t>
            </w:r>
          </w:p>
        </w:tc>
        <w:tc>
          <w:tcPr>
            <w:tcW w:w="1540" w:type="dxa"/>
            <w:tcBorders>
              <w:top w:val="single" w:sz="8" w:space="0" w:color="auto"/>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312 735</w:t>
            </w:r>
          </w:p>
        </w:tc>
        <w:tc>
          <w:tcPr>
            <w:tcW w:w="14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382 062</w:t>
            </w:r>
          </w:p>
        </w:tc>
        <w:tc>
          <w:tcPr>
            <w:tcW w:w="1540" w:type="dxa"/>
            <w:tcBorders>
              <w:top w:val="single" w:sz="8" w:space="0" w:color="auto"/>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662 272</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349 537</w:t>
            </w:r>
          </w:p>
        </w:tc>
      </w:tr>
      <w:tr w:rsidR="00DE3C0C" w:rsidRPr="00DE3C0C" w:rsidTr="00DE3C0C">
        <w:trPr>
          <w:trHeight w:val="255"/>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деятельность водного транспорта</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194</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349</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229</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150</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-199</w:t>
            </w:r>
          </w:p>
        </w:tc>
      </w:tr>
      <w:tr w:rsidR="00DE3C0C" w:rsidRPr="00DE3C0C" w:rsidTr="00DE3C0C">
        <w:trPr>
          <w:trHeight w:val="255"/>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деятельность воздушного транспорта</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-7 995</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-41 820</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-19 993</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-56 355</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-14 535</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вспомогательная и дополнительная транспортная деятельность</w:t>
            </w:r>
          </w:p>
        </w:tc>
        <w:tc>
          <w:tcPr>
            <w:tcW w:w="1420" w:type="dxa"/>
            <w:tcBorders>
              <w:top w:val="nil"/>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47 961</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86 024</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51 650</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74 261</w:t>
            </w:r>
          </w:p>
        </w:tc>
        <w:tc>
          <w:tcPr>
            <w:tcW w:w="2400" w:type="dxa"/>
            <w:tcBorders>
              <w:top w:val="nil"/>
              <w:left w:val="single" w:sz="8" w:space="0" w:color="auto"/>
              <w:bottom w:val="nil"/>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-11 763</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связь</w:t>
            </w:r>
          </w:p>
        </w:tc>
        <w:tc>
          <w:tcPr>
            <w:tcW w:w="1420" w:type="dxa"/>
            <w:tcBorders>
              <w:top w:val="nil"/>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260 772</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403 488</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418 061</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548 199</w:t>
            </w:r>
          </w:p>
        </w:tc>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144 711</w:t>
            </w:r>
          </w:p>
        </w:tc>
      </w:tr>
      <w:tr w:rsidR="00DE3C0C" w:rsidRPr="00DE3C0C" w:rsidTr="00DE3C0C">
        <w:trPr>
          <w:trHeight w:val="270"/>
          <w:jc w:val="center"/>
        </w:trPr>
        <w:tc>
          <w:tcPr>
            <w:tcW w:w="6440" w:type="dxa"/>
            <w:tcBorders>
              <w:top w:val="nil"/>
              <w:left w:val="single" w:sz="8" w:space="0" w:color="auto"/>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финансовая деятельность</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21 691</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30 550</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17 256</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40 230</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9 680</w:t>
            </w:r>
          </w:p>
        </w:tc>
      </w:tr>
      <w:tr w:rsidR="00DE3C0C" w:rsidRPr="00DE3C0C" w:rsidTr="00DE3C0C">
        <w:trPr>
          <w:trHeight w:val="525"/>
          <w:jc w:val="center"/>
        </w:trPr>
        <w:tc>
          <w:tcPr>
            <w:tcW w:w="6440" w:type="dxa"/>
            <w:tcBorders>
              <w:top w:val="nil"/>
              <w:left w:val="single" w:sz="8" w:space="0" w:color="auto"/>
              <w:bottom w:val="nil"/>
              <w:right w:val="nil"/>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операции с недвижимым имуществом, аренда и предоставление услуг потребителям</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270 575</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474 179</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207 846</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236 786</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-237 393</w:t>
            </w:r>
          </w:p>
        </w:tc>
      </w:tr>
      <w:tr w:rsidR="00DE3C0C" w:rsidRPr="00DE3C0C" w:rsidTr="00DE3C0C">
        <w:trPr>
          <w:trHeight w:val="255"/>
          <w:jc w:val="center"/>
        </w:trPr>
        <w:tc>
          <w:tcPr>
            <w:tcW w:w="644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операции с недвижимым имуществом</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41 320</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18 187</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26 126</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55 756</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37 569</w:t>
            </w:r>
          </w:p>
        </w:tc>
      </w:tr>
      <w:tr w:rsidR="00DE3C0C" w:rsidRPr="00DE3C0C" w:rsidTr="00DE3C0C">
        <w:trPr>
          <w:trHeight w:val="510"/>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аренда машин и оборудования без оператора и прокат бытовых изделий и предметов личного пользования</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187</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166</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-570</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-1 165</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-1 331</w:t>
            </w:r>
          </w:p>
        </w:tc>
      </w:tr>
      <w:tr w:rsidR="00DE3C0C" w:rsidRPr="00DE3C0C" w:rsidTr="00DE3C0C">
        <w:trPr>
          <w:trHeight w:val="255"/>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деятельность, связанная с вычислительной техникой</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50 816</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93 589</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26 200</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44 473</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-49 116</w:t>
            </w:r>
          </w:p>
        </w:tc>
      </w:tr>
      <w:tr w:rsidR="00DE3C0C" w:rsidRPr="00DE3C0C" w:rsidTr="00DE3C0C">
        <w:trPr>
          <w:trHeight w:val="255"/>
          <w:jc w:val="center"/>
        </w:trPr>
        <w:tc>
          <w:tcPr>
            <w:tcW w:w="6440" w:type="dxa"/>
            <w:tcBorders>
              <w:top w:val="nil"/>
              <w:left w:val="single" w:sz="8" w:space="0" w:color="auto"/>
              <w:bottom w:val="single" w:sz="4"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научные исследования и разработки</w:t>
            </w:r>
          </w:p>
        </w:tc>
        <w:tc>
          <w:tcPr>
            <w:tcW w:w="1420" w:type="dxa"/>
            <w:tcBorders>
              <w:top w:val="nil"/>
              <w:left w:val="nil"/>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28 653</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75 312</w:t>
            </w:r>
          </w:p>
        </w:tc>
        <w:tc>
          <w:tcPr>
            <w:tcW w:w="1480" w:type="dxa"/>
            <w:tcBorders>
              <w:top w:val="nil"/>
              <w:left w:val="single" w:sz="8" w:space="0" w:color="auto"/>
              <w:bottom w:val="single" w:sz="4"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101 221</w:t>
            </w:r>
          </w:p>
        </w:tc>
        <w:tc>
          <w:tcPr>
            <w:tcW w:w="1540" w:type="dxa"/>
            <w:tcBorders>
              <w:top w:val="nil"/>
              <w:left w:val="nil"/>
              <w:bottom w:val="single" w:sz="4"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79 442</w:t>
            </w:r>
          </w:p>
        </w:tc>
        <w:tc>
          <w:tcPr>
            <w:tcW w:w="2400" w:type="dxa"/>
            <w:tcBorders>
              <w:top w:val="nil"/>
              <w:left w:val="single" w:sz="8" w:space="0" w:color="auto"/>
              <w:bottom w:val="single" w:sz="4"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4 130</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i/>
                <w:iCs/>
                <w:color w:val="000000"/>
                <w:sz w:val="20"/>
                <w:szCs w:val="20"/>
                <w:lang w:eastAsia="ru-RU"/>
              </w:rPr>
            </w:pPr>
            <w:r w:rsidRPr="00DE3C0C">
              <w:rPr>
                <w:rFonts w:ascii="Cambria" w:eastAsia="Times New Roman" w:hAnsi="Cambria" w:cs="Arial"/>
                <w:i/>
                <w:iCs/>
                <w:color w:val="000000"/>
                <w:sz w:val="20"/>
                <w:szCs w:val="20"/>
                <w:lang w:eastAsia="ru-RU"/>
              </w:rPr>
              <w:t>предоставление прочих видов услуг потребителям</w:t>
            </w:r>
          </w:p>
        </w:tc>
        <w:tc>
          <w:tcPr>
            <w:tcW w:w="1420" w:type="dxa"/>
            <w:tcBorders>
              <w:top w:val="nil"/>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149 599</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286 925</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54 869</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color w:val="000000"/>
                <w:sz w:val="20"/>
                <w:szCs w:val="20"/>
                <w:lang w:eastAsia="ru-RU"/>
              </w:rPr>
            </w:pPr>
            <w:r w:rsidRPr="00DE3C0C">
              <w:rPr>
                <w:rFonts w:ascii="Cambria" w:eastAsia="Times New Roman" w:hAnsi="Cambria" w:cs="Arial"/>
                <w:color w:val="000000"/>
                <w:sz w:val="20"/>
                <w:szCs w:val="20"/>
                <w:lang w:eastAsia="ru-RU"/>
              </w:rPr>
              <w:t>58 280</w:t>
            </w:r>
          </w:p>
        </w:tc>
        <w:tc>
          <w:tcPr>
            <w:tcW w:w="2400" w:type="dxa"/>
            <w:tcBorders>
              <w:top w:val="nil"/>
              <w:left w:val="single" w:sz="8" w:space="0" w:color="auto"/>
              <w:bottom w:val="nil"/>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sz w:val="20"/>
                <w:szCs w:val="20"/>
                <w:lang w:eastAsia="ru-RU"/>
              </w:rPr>
            </w:pPr>
            <w:r w:rsidRPr="00DE3C0C">
              <w:rPr>
                <w:rFonts w:ascii="Cambria" w:eastAsia="Times New Roman" w:hAnsi="Cambria" w:cs="Arial"/>
                <w:sz w:val="20"/>
                <w:szCs w:val="20"/>
                <w:lang w:eastAsia="ru-RU"/>
              </w:rPr>
              <w:t>-228 645</w:t>
            </w:r>
          </w:p>
        </w:tc>
      </w:tr>
      <w:tr w:rsidR="00DE3C0C" w:rsidRPr="00DE3C0C" w:rsidTr="00DE3C0C">
        <w:trPr>
          <w:trHeight w:val="270"/>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образование</w:t>
            </w:r>
          </w:p>
        </w:tc>
        <w:tc>
          <w:tcPr>
            <w:tcW w:w="1420" w:type="dxa"/>
            <w:tcBorders>
              <w:top w:val="nil"/>
              <w:left w:val="nil"/>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14 849</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26 477</w:t>
            </w:r>
          </w:p>
        </w:tc>
        <w:tc>
          <w:tcPr>
            <w:tcW w:w="1480" w:type="dxa"/>
            <w:tcBorders>
              <w:top w:val="nil"/>
              <w:left w:val="single" w:sz="8" w:space="0" w:color="auto"/>
              <w:bottom w:val="nil"/>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15 032</w:t>
            </w:r>
          </w:p>
        </w:tc>
        <w:tc>
          <w:tcPr>
            <w:tcW w:w="1540" w:type="dxa"/>
            <w:tcBorders>
              <w:top w:val="nil"/>
              <w:left w:val="nil"/>
              <w:bottom w:val="nil"/>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32 938</w:t>
            </w:r>
          </w:p>
        </w:tc>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6 461</w:t>
            </w:r>
          </w:p>
        </w:tc>
      </w:tr>
      <w:tr w:rsidR="00DE3C0C" w:rsidRPr="00DE3C0C" w:rsidTr="00DE3C0C">
        <w:trPr>
          <w:trHeight w:val="270"/>
          <w:jc w:val="center"/>
        </w:trPr>
        <w:tc>
          <w:tcPr>
            <w:tcW w:w="6440" w:type="dxa"/>
            <w:tcBorders>
              <w:top w:val="nil"/>
              <w:left w:val="single" w:sz="8" w:space="0" w:color="auto"/>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здравоохранение и предоставление социальных услуг</w:t>
            </w:r>
          </w:p>
        </w:tc>
        <w:tc>
          <w:tcPr>
            <w:tcW w:w="14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19 824</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33 408</w:t>
            </w:r>
          </w:p>
        </w:tc>
        <w:tc>
          <w:tcPr>
            <w:tcW w:w="14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18 202</w:t>
            </w:r>
          </w:p>
        </w:tc>
        <w:tc>
          <w:tcPr>
            <w:tcW w:w="1540" w:type="dxa"/>
            <w:tcBorders>
              <w:top w:val="single" w:sz="8" w:space="0" w:color="auto"/>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32 509</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-899</w:t>
            </w:r>
          </w:p>
        </w:tc>
      </w:tr>
      <w:tr w:rsidR="00DE3C0C" w:rsidRPr="00DE3C0C" w:rsidTr="00DE3C0C">
        <w:trPr>
          <w:trHeight w:val="525"/>
          <w:jc w:val="center"/>
        </w:trPr>
        <w:tc>
          <w:tcPr>
            <w:tcW w:w="6440" w:type="dxa"/>
            <w:tcBorders>
              <w:top w:val="nil"/>
              <w:left w:val="single" w:sz="8" w:space="0" w:color="auto"/>
              <w:bottom w:val="single" w:sz="8" w:space="0" w:color="auto"/>
              <w:right w:val="single" w:sz="8" w:space="0" w:color="auto"/>
            </w:tcBorders>
            <w:shd w:val="clear" w:color="auto" w:fill="auto"/>
            <w:vAlign w:val="center"/>
            <w:hideMark/>
          </w:tcPr>
          <w:p w:rsidR="00DE3C0C" w:rsidRPr="00DE3C0C" w:rsidRDefault="00DE3C0C" w:rsidP="00C11730">
            <w:pPr>
              <w:tabs>
                <w:tab w:val="left" w:pos="10773"/>
              </w:tabs>
              <w:spacing w:after="0" w:line="240" w:lineRule="auto"/>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предоставление коммунальных, социальных и персональных услуг</w:t>
            </w:r>
          </w:p>
        </w:tc>
        <w:tc>
          <w:tcPr>
            <w:tcW w:w="1420" w:type="dxa"/>
            <w:tcBorders>
              <w:top w:val="nil"/>
              <w:left w:val="nil"/>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60 782</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78 080</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44 939</w:t>
            </w:r>
          </w:p>
        </w:tc>
        <w:tc>
          <w:tcPr>
            <w:tcW w:w="1540" w:type="dxa"/>
            <w:tcBorders>
              <w:top w:val="nil"/>
              <w:left w:val="nil"/>
              <w:bottom w:val="single" w:sz="8" w:space="0" w:color="auto"/>
              <w:right w:val="nil"/>
            </w:tcBorders>
            <w:shd w:val="clear" w:color="auto" w:fill="auto"/>
            <w:vAlign w:val="center"/>
            <w:hideMark/>
          </w:tcPr>
          <w:p w:rsidR="00DE3C0C" w:rsidRPr="00DE3C0C" w:rsidRDefault="00DE3C0C" w:rsidP="00C11730">
            <w:pPr>
              <w:tabs>
                <w:tab w:val="left" w:pos="10773"/>
              </w:tabs>
              <w:spacing w:after="0" w:line="240" w:lineRule="auto"/>
              <w:jc w:val="right"/>
              <w:rPr>
                <w:rFonts w:ascii="Cambria" w:eastAsia="Times New Roman" w:hAnsi="Cambria" w:cs="Arial"/>
                <w:b/>
                <w:bCs/>
                <w:color w:val="000000"/>
                <w:sz w:val="20"/>
                <w:szCs w:val="20"/>
                <w:lang w:eastAsia="ru-RU"/>
              </w:rPr>
            </w:pPr>
            <w:r w:rsidRPr="00DE3C0C">
              <w:rPr>
                <w:rFonts w:ascii="Cambria" w:eastAsia="Times New Roman" w:hAnsi="Cambria" w:cs="Arial"/>
                <w:b/>
                <w:bCs/>
                <w:color w:val="000000"/>
                <w:sz w:val="20"/>
                <w:szCs w:val="20"/>
                <w:lang w:eastAsia="ru-RU"/>
              </w:rPr>
              <w:t>63 135</w:t>
            </w:r>
          </w:p>
        </w:tc>
        <w:tc>
          <w:tcPr>
            <w:tcW w:w="2400" w:type="dxa"/>
            <w:tcBorders>
              <w:top w:val="nil"/>
              <w:left w:val="single" w:sz="8" w:space="0" w:color="auto"/>
              <w:bottom w:val="single" w:sz="8" w:space="0" w:color="auto"/>
              <w:right w:val="single" w:sz="8" w:space="0" w:color="auto"/>
            </w:tcBorders>
            <w:shd w:val="clear" w:color="auto" w:fill="auto"/>
            <w:noWrap/>
            <w:hideMark/>
          </w:tcPr>
          <w:p w:rsidR="00DE3C0C" w:rsidRPr="00DE3C0C" w:rsidRDefault="00DE3C0C" w:rsidP="00C11730">
            <w:pPr>
              <w:tabs>
                <w:tab w:val="left" w:pos="10773"/>
              </w:tabs>
              <w:spacing w:after="0" w:line="240" w:lineRule="auto"/>
              <w:jc w:val="right"/>
              <w:rPr>
                <w:rFonts w:ascii="Cambria" w:eastAsia="Times New Roman" w:hAnsi="Cambria" w:cs="Arial"/>
                <w:b/>
                <w:bCs/>
                <w:sz w:val="20"/>
                <w:szCs w:val="20"/>
                <w:lang w:eastAsia="ru-RU"/>
              </w:rPr>
            </w:pPr>
            <w:r w:rsidRPr="00DE3C0C">
              <w:rPr>
                <w:rFonts w:ascii="Cambria" w:eastAsia="Times New Roman" w:hAnsi="Cambria" w:cs="Arial"/>
                <w:b/>
                <w:bCs/>
                <w:sz w:val="20"/>
                <w:szCs w:val="20"/>
                <w:lang w:eastAsia="ru-RU"/>
              </w:rPr>
              <w:t>-14 945</w:t>
            </w:r>
          </w:p>
        </w:tc>
      </w:tr>
    </w:tbl>
    <w:p w:rsidR="00DE3C0C" w:rsidRDefault="00DE3C0C" w:rsidP="00C11730">
      <w:pPr>
        <w:tabs>
          <w:tab w:val="left" w:pos="10773"/>
        </w:tabs>
        <w:ind w:left="567" w:firstLine="426"/>
        <w:jc w:val="center"/>
        <w:rPr>
          <w:rFonts w:asciiTheme="majorHAnsi" w:hAnsiTheme="majorHAnsi"/>
          <w:b/>
          <w:sz w:val="28"/>
          <w:szCs w:val="28"/>
        </w:rPr>
      </w:pPr>
    </w:p>
    <w:p w:rsidR="008F0E3F" w:rsidRPr="008F0E3F" w:rsidRDefault="008F0E3F" w:rsidP="00C11730">
      <w:pPr>
        <w:tabs>
          <w:tab w:val="left" w:pos="10773"/>
        </w:tabs>
        <w:ind w:left="567" w:firstLine="426"/>
        <w:jc w:val="center"/>
        <w:rPr>
          <w:rFonts w:asciiTheme="majorHAnsi" w:hAnsiTheme="majorHAnsi"/>
          <w:b/>
          <w:sz w:val="28"/>
          <w:szCs w:val="28"/>
        </w:rPr>
      </w:pPr>
    </w:p>
    <w:sectPr w:rsidR="008F0E3F" w:rsidRPr="008F0E3F" w:rsidSect="007F773A">
      <w:headerReference w:type="first" r:id="rId25"/>
      <w:pgSz w:w="16838" w:h="11906" w:orient="landscape"/>
      <w:pgMar w:top="583" w:right="567" w:bottom="284" w:left="567" w:header="284" w:footer="44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831" w:rsidRDefault="00A05831" w:rsidP="002929B3">
      <w:pPr>
        <w:spacing w:after="0" w:line="240" w:lineRule="auto"/>
      </w:pPr>
      <w:r>
        <w:separator/>
      </w:r>
    </w:p>
  </w:endnote>
  <w:endnote w:type="continuationSeparator" w:id="0">
    <w:p w:rsidR="00A05831" w:rsidRDefault="00A05831" w:rsidP="00292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C2" w:rsidRDefault="00090C72" w:rsidP="00F724AB">
    <w:pPr>
      <w:pStyle w:val="a5"/>
      <w:tabs>
        <w:tab w:val="right" w:pos="4677"/>
      </w:tabs>
      <w:jc w:val="center"/>
    </w:pPr>
    <w:fldSimple w:instr="PAGE   \* MERGEFORMAT">
      <w:r w:rsidR="00460B6F">
        <w:rPr>
          <w:noProof/>
        </w:rPr>
        <w:t>49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831" w:rsidRDefault="00A05831" w:rsidP="002929B3">
      <w:pPr>
        <w:spacing w:after="0" w:line="240" w:lineRule="auto"/>
      </w:pPr>
      <w:r>
        <w:separator/>
      </w:r>
    </w:p>
  </w:footnote>
  <w:footnote w:type="continuationSeparator" w:id="0">
    <w:p w:rsidR="00A05831" w:rsidRDefault="00A05831" w:rsidP="00292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C2" w:rsidRPr="00974544" w:rsidRDefault="00D92FC2" w:rsidP="000A4122">
    <w:pPr>
      <w:pStyle w:val="a3"/>
      <w:tabs>
        <w:tab w:val="clear" w:pos="4677"/>
        <w:tab w:val="center" w:pos="4678"/>
      </w:tabs>
      <w:ind w:left="4253"/>
      <w:jc w:val="center"/>
      <w:rPr>
        <w:rFonts w:ascii="Cambria" w:hAnsi="Cambria"/>
        <w:i/>
        <w:sz w:val="28"/>
        <w:szCs w:val="28"/>
        <w:lang w:val="be-BY"/>
      </w:rPr>
    </w:pPr>
    <w:r>
      <w:rPr>
        <w:noProof/>
        <w:lang w:eastAsia="ru-RU"/>
      </w:rPr>
      <w:drawing>
        <wp:anchor distT="0" distB="0" distL="114300" distR="114300" simplePos="0" relativeHeight="251659264" behindDoc="0" locked="0" layoutInCell="1" allowOverlap="1">
          <wp:simplePos x="0" y="0"/>
          <wp:positionH relativeFrom="column">
            <wp:posOffset>140970</wp:posOffset>
          </wp:positionH>
          <wp:positionV relativeFrom="paragraph">
            <wp:posOffset>-1905</wp:posOffset>
          </wp:positionV>
          <wp:extent cx="2371725" cy="666750"/>
          <wp:effectExtent l="19050" t="0" r="9525" b="0"/>
          <wp:wrapSquare wrapText="bothSides"/>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2371725" cy="666750"/>
                  </a:xfrm>
                  <a:prstGeom prst="rect">
                    <a:avLst/>
                  </a:prstGeom>
                  <a:noFill/>
                </pic:spPr>
              </pic:pic>
            </a:graphicData>
          </a:graphic>
        </wp:anchor>
      </w:drawing>
    </w:r>
    <w:r>
      <w:rPr>
        <w:rFonts w:ascii="Cambria" w:hAnsi="Cambria"/>
        <w:b/>
        <w:sz w:val="28"/>
        <w:szCs w:val="28"/>
      </w:rPr>
      <w:t xml:space="preserve">              </w:t>
    </w:r>
    <w:r>
      <w:rPr>
        <w:rFonts w:ascii="Cambria" w:hAnsi="Cambria"/>
        <w:b/>
        <w:sz w:val="28"/>
        <w:szCs w:val="28"/>
        <w:lang w:val="en-US"/>
      </w:rPr>
      <w:t xml:space="preserve"> </w:t>
    </w:r>
    <w:r>
      <w:rPr>
        <w:rFonts w:ascii="Cambria" w:hAnsi="Cambria"/>
        <w:b/>
        <w:sz w:val="28"/>
        <w:szCs w:val="28"/>
      </w:rPr>
      <w:t xml:space="preserve">  </w:t>
    </w:r>
    <w:r>
      <w:rPr>
        <w:rFonts w:ascii="Cambria" w:hAnsi="Cambria"/>
        <w:b/>
        <w:sz w:val="28"/>
        <w:szCs w:val="28"/>
        <w:lang w:val="be-BY"/>
      </w:rPr>
      <w:t>Экономика Беларуси</w:t>
    </w:r>
  </w:p>
  <w:p w:rsidR="00D92FC2" w:rsidRDefault="00D92FC2" w:rsidP="000A4122">
    <w:pPr>
      <w:pStyle w:val="a3"/>
      <w:ind w:left="4253"/>
      <w:jc w:val="center"/>
      <w:rPr>
        <w:rFonts w:ascii="Cambria" w:hAnsi="Cambria"/>
        <w:i/>
        <w:sz w:val="28"/>
        <w:szCs w:val="28"/>
      </w:rPr>
    </w:pPr>
    <w:r>
      <w:rPr>
        <w:rFonts w:ascii="Cambria" w:hAnsi="Cambria"/>
        <w:i/>
        <w:sz w:val="28"/>
        <w:szCs w:val="28"/>
      </w:rPr>
      <w:t xml:space="preserve">                    Апрель 2014 года</w:t>
    </w:r>
  </w:p>
  <w:p w:rsidR="00D92FC2" w:rsidRDefault="00D92FC2" w:rsidP="000A4122">
    <w:pPr>
      <w:pStyle w:val="a3"/>
      <w:ind w:left="4253"/>
      <w:jc w:val="center"/>
      <w:rPr>
        <w:rFonts w:ascii="Cambria" w:hAnsi="Cambria"/>
        <w:i/>
        <w:sz w:val="28"/>
        <w:szCs w:val="28"/>
      </w:rPr>
    </w:pPr>
  </w:p>
  <w:p w:rsidR="00D92FC2" w:rsidRDefault="00D92FC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C2" w:rsidRPr="007F773A" w:rsidRDefault="00D92FC2" w:rsidP="007F77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749DC"/>
    <w:multiLevelType w:val="hybridMultilevel"/>
    <w:tmpl w:val="D0087330"/>
    <w:lvl w:ilvl="0" w:tplc="8B70C1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1C131FA"/>
    <w:multiLevelType w:val="hybridMultilevel"/>
    <w:tmpl w:val="FAA40B92"/>
    <w:lvl w:ilvl="0" w:tplc="60C02634">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nsid w:val="249D5A69"/>
    <w:multiLevelType w:val="hybridMultilevel"/>
    <w:tmpl w:val="09EE4578"/>
    <w:lvl w:ilvl="0" w:tplc="F9E8E81C">
      <w:start w:val="4"/>
      <w:numFmt w:val="decimal"/>
      <w:lvlText w:val="%1."/>
      <w:lvlJc w:val="left"/>
      <w:pPr>
        <w:ind w:left="1347" w:hanging="360"/>
      </w:pPr>
      <w:rPr>
        <w:rFonts w:cs="Times New Roman" w:hint="default"/>
        <w:b/>
      </w:rPr>
    </w:lvl>
    <w:lvl w:ilvl="1" w:tplc="04190019" w:tentative="1">
      <w:start w:val="1"/>
      <w:numFmt w:val="lowerLetter"/>
      <w:lvlText w:val="%2."/>
      <w:lvlJc w:val="left"/>
      <w:pPr>
        <w:ind w:left="2067" w:hanging="360"/>
      </w:pPr>
      <w:rPr>
        <w:rFonts w:cs="Times New Roman"/>
      </w:rPr>
    </w:lvl>
    <w:lvl w:ilvl="2" w:tplc="0419001B" w:tentative="1">
      <w:start w:val="1"/>
      <w:numFmt w:val="lowerRoman"/>
      <w:lvlText w:val="%3."/>
      <w:lvlJc w:val="right"/>
      <w:pPr>
        <w:ind w:left="2787" w:hanging="180"/>
      </w:pPr>
      <w:rPr>
        <w:rFonts w:cs="Times New Roman"/>
      </w:rPr>
    </w:lvl>
    <w:lvl w:ilvl="3" w:tplc="0419000F" w:tentative="1">
      <w:start w:val="1"/>
      <w:numFmt w:val="decimal"/>
      <w:lvlText w:val="%4."/>
      <w:lvlJc w:val="left"/>
      <w:pPr>
        <w:ind w:left="3507" w:hanging="360"/>
      </w:pPr>
      <w:rPr>
        <w:rFonts w:cs="Times New Roman"/>
      </w:rPr>
    </w:lvl>
    <w:lvl w:ilvl="4" w:tplc="04190019" w:tentative="1">
      <w:start w:val="1"/>
      <w:numFmt w:val="lowerLetter"/>
      <w:lvlText w:val="%5."/>
      <w:lvlJc w:val="left"/>
      <w:pPr>
        <w:ind w:left="4227" w:hanging="360"/>
      </w:pPr>
      <w:rPr>
        <w:rFonts w:cs="Times New Roman"/>
      </w:rPr>
    </w:lvl>
    <w:lvl w:ilvl="5" w:tplc="0419001B" w:tentative="1">
      <w:start w:val="1"/>
      <w:numFmt w:val="lowerRoman"/>
      <w:lvlText w:val="%6."/>
      <w:lvlJc w:val="right"/>
      <w:pPr>
        <w:ind w:left="4947" w:hanging="180"/>
      </w:pPr>
      <w:rPr>
        <w:rFonts w:cs="Times New Roman"/>
      </w:rPr>
    </w:lvl>
    <w:lvl w:ilvl="6" w:tplc="0419000F" w:tentative="1">
      <w:start w:val="1"/>
      <w:numFmt w:val="decimal"/>
      <w:lvlText w:val="%7."/>
      <w:lvlJc w:val="left"/>
      <w:pPr>
        <w:ind w:left="5667" w:hanging="360"/>
      </w:pPr>
      <w:rPr>
        <w:rFonts w:cs="Times New Roman"/>
      </w:rPr>
    </w:lvl>
    <w:lvl w:ilvl="7" w:tplc="04190019" w:tentative="1">
      <w:start w:val="1"/>
      <w:numFmt w:val="lowerLetter"/>
      <w:lvlText w:val="%8."/>
      <w:lvlJc w:val="left"/>
      <w:pPr>
        <w:ind w:left="6387" w:hanging="360"/>
      </w:pPr>
      <w:rPr>
        <w:rFonts w:cs="Times New Roman"/>
      </w:rPr>
    </w:lvl>
    <w:lvl w:ilvl="8" w:tplc="0419001B" w:tentative="1">
      <w:start w:val="1"/>
      <w:numFmt w:val="lowerRoman"/>
      <w:lvlText w:val="%9."/>
      <w:lvlJc w:val="right"/>
      <w:pPr>
        <w:ind w:left="7107" w:hanging="180"/>
      </w:pPr>
      <w:rPr>
        <w:rFonts w:cs="Times New Roman"/>
      </w:rPr>
    </w:lvl>
  </w:abstractNum>
  <w:abstractNum w:abstractNumId="3">
    <w:nsid w:val="28782DAC"/>
    <w:multiLevelType w:val="hybridMultilevel"/>
    <w:tmpl w:val="A1D29B4E"/>
    <w:lvl w:ilvl="0" w:tplc="D8D4D7B4">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C5855B7"/>
    <w:multiLevelType w:val="hybridMultilevel"/>
    <w:tmpl w:val="C6C296D6"/>
    <w:lvl w:ilvl="0" w:tplc="F062A7C6">
      <w:start w:val="6"/>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5">
    <w:nsid w:val="317D3AB4"/>
    <w:multiLevelType w:val="hybridMultilevel"/>
    <w:tmpl w:val="72DCF2C2"/>
    <w:lvl w:ilvl="0" w:tplc="B456FB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3F863E4"/>
    <w:multiLevelType w:val="hybridMultilevel"/>
    <w:tmpl w:val="27FC674A"/>
    <w:lvl w:ilvl="0" w:tplc="75E2F93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36260C93"/>
    <w:multiLevelType w:val="hybridMultilevel"/>
    <w:tmpl w:val="2E2E1AA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3B8A52F4"/>
    <w:multiLevelType w:val="hybridMultilevel"/>
    <w:tmpl w:val="D8F0F4DC"/>
    <w:lvl w:ilvl="0" w:tplc="EF1A7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3D28C8"/>
    <w:multiLevelType w:val="hybridMultilevel"/>
    <w:tmpl w:val="0F660A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C705BCF"/>
    <w:multiLevelType w:val="hybridMultilevel"/>
    <w:tmpl w:val="B53E89F8"/>
    <w:lvl w:ilvl="0" w:tplc="AAFC2FD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nsid w:val="3E7250A7"/>
    <w:multiLevelType w:val="hybridMultilevel"/>
    <w:tmpl w:val="15861544"/>
    <w:lvl w:ilvl="0" w:tplc="DA50C806">
      <w:start w:val="4"/>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414A0311"/>
    <w:multiLevelType w:val="hybridMultilevel"/>
    <w:tmpl w:val="3C20F690"/>
    <w:lvl w:ilvl="0" w:tplc="AA3438EC">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3915CA0"/>
    <w:multiLevelType w:val="hybridMultilevel"/>
    <w:tmpl w:val="2074768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48A1BF8"/>
    <w:multiLevelType w:val="hybridMultilevel"/>
    <w:tmpl w:val="FA2AAE96"/>
    <w:lvl w:ilvl="0" w:tplc="98CEB54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nsid w:val="48CA3FBB"/>
    <w:multiLevelType w:val="hybridMultilevel"/>
    <w:tmpl w:val="561CE406"/>
    <w:lvl w:ilvl="0" w:tplc="637E64D2">
      <w:start w:val="3"/>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6">
    <w:nsid w:val="49D93E79"/>
    <w:multiLevelType w:val="hybridMultilevel"/>
    <w:tmpl w:val="607E2A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6861CB1"/>
    <w:multiLevelType w:val="hybridMultilevel"/>
    <w:tmpl w:val="28303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1D5B6F"/>
    <w:multiLevelType w:val="hybridMultilevel"/>
    <w:tmpl w:val="FD02C264"/>
    <w:lvl w:ilvl="0" w:tplc="D102F6C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68EF70B1"/>
    <w:multiLevelType w:val="hybridMultilevel"/>
    <w:tmpl w:val="558A2518"/>
    <w:lvl w:ilvl="0" w:tplc="A9EAE9F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77A669DE"/>
    <w:multiLevelType w:val="hybridMultilevel"/>
    <w:tmpl w:val="2C7C0552"/>
    <w:lvl w:ilvl="0" w:tplc="DD383AB8">
      <w:numFmt w:val="bullet"/>
      <w:lvlText w:val="-"/>
      <w:lvlJc w:val="left"/>
      <w:pPr>
        <w:ind w:left="400" w:hanging="360"/>
      </w:pPr>
      <w:rPr>
        <w:rFonts w:ascii="Cambria" w:eastAsia="Times New Roman" w:hAnsi="Cambria" w:hint="default"/>
      </w:rPr>
    </w:lvl>
    <w:lvl w:ilvl="1" w:tplc="04190003" w:tentative="1">
      <w:start w:val="1"/>
      <w:numFmt w:val="bullet"/>
      <w:lvlText w:val="o"/>
      <w:lvlJc w:val="left"/>
      <w:pPr>
        <w:ind w:left="1120" w:hanging="360"/>
      </w:pPr>
      <w:rPr>
        <w:rFonts w:ascii="Courier New" w:hAnsi="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21">
    <w:nsid w:val="78BF10EA"/>
    <w:multiLevelType w:val="hybridMultilevel"/>
    <w:tmpl w:val="D02E03A8"/>
    <w:lvl w:ilvl="0" w:tplc="CF82584C">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nsid w:val="7DB55EC8"/>
    <w:multiLevelType w:val="hybridMultilevel"/>
    <w:tmpl w:val="2FB825BA"/>
    <w:lvl w:ilvl="0" w:tplc="3CA86F6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9"/>
  </w:num>
  <w:num w:numId="2">
    <w:abstractNumId w:val="7"/>
  </w:num>
  <w:num w:numId="3">
    <w:abstractNumId w:val="16"/>
  </w:num>
  <w:num w:numId="4">
    <w:abstractNumId w:val="6"/>
  </w:num>
  <w:num w:numId="5">
    <w:abstractNumId w:val="21"/>
  </w:num>
  <w:num w:numId="6">
    <w:abstractNumId w:val="15"/>
  </w:num>
  <w:num w:numId="7">
    <w:abstractNumId w:val="11"/>
  </w:num>
  <w:num w:numId="8">
    <w:abstractNumId w:val="4"/>
  </w:num>
  <w:num w:numId="9">
    <w:abstractNumId w:val="22"/>
  </w:num>
  <w:num w:numId="10">
    <w:abstractNumId w:val="14"/>
  </w:num>
  <w:num w:numId="11">
    <w:abstractNumId w:val="2"/>
  </w:num>
  <w:num w:numId="12">
    <w:abstractNumId w:val="13"/>
  </w:num>
  <w:num w:numId="13">
    <w:abstractNumId w:val="20"/>
  </w:num>
  <w:num w:numId="14">
    <w:abstractNumId w:val="1"/>
  </w:num>
  <w:num w:numId="15">
    <w:abstractNumId w:val="5"/>
  </w:num>
  <w:num w:numId="16">
    <w:abstractNumId w:val="18"/>
  </w:num>
  <w:num w:numId="17">
    <w:abstractNumId w:val="19"/>
  </w:num>
  <w:num w:numId="18">
    <w:abstractNumId w:val="10"/>
  </w:num>
  <w:num w:numId="19">
    <w:abstractNumId w:val="0"/>
  </w:num>
  <w:num w:numId="20">
    <w:abstractNumId w:val="8"/>
  </w:num>
  <w:num w:numId="21">
    <w:abstractNumId w:val="12"/>
  </w:num>
  <w:num w:numId="22">
    <w:abstractNumId w:val="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E770A2"/>
    <w:rsid w:val="00000581"/>
    <w:rsid w:val="00003CF9"/>
    <w:rsid w:val="00004662"/>
    <w:rsid w:val="000052CC"/>
    <w:rsid w:val="00007200"/>
    <w:rsid w:val="00011C7B"/>
    <w:rsid w:val="00011CA5"/>
    <w:rsid w:val="00012D1A"/>
    <w:rsid w:val="00013F44"/>
    <w:rsid w:val="00015BBE"/>
    <w:rsid w:val="00015CFA"/>
    <w:rsid w:val="000213FF"/>
    <w:rsid w:val="0002242C"/>
    <w:rsid w:val="00026236"/>
    <w:rsid w:val="000326D9"/>
    <w:rsid w:val="0003669B"/>
    <w:rsid w:val="00051011"/>
    <w:rsid w:val="000550A3"/>
    <w:rsid w:val="00056C34"/>
    <w:rsid w:val="000615E2"/>
    <w:rsid w:val="000617F1"/>
    <w:rsid w:val="00065384"/>
    <w:rsid w:val="0006654C"/>
    <w:rsid w:val="00067D9C"/>
    <w:rsid w:val="00072631"/>
    <w:rsid w:val="000735FD"/>
    <w:rsid w:val="000744B4"/>
    <w:rsid w:val="00080EB7"/>
    <w:rsid w:val="000824A9"/>
    <w:rsid w:val="00087C23"/>
    <w:rsid w:val="00087FDB"/>
    <w:rsid w:val="00090368"/>
    <w:rsid w:val="00090C72"/>
    <w:rsid w:val="00091DA1"/>
    <w:rsid w:val="0009590A"/>
    <w:rsid w:val="00095F79"/>
    <w:rsid w:val="000A4122"/>
    <w:rsid w:val="000A422E"/>
    <w:rsid w:val="000B2E80"/>
    <w:rsid w:val="000C0DF2"/>
    <w:rsid w:val="000C4D72"/>
    <w:rsid w:val="000C7A98"/>
    <w:rsid w:val="000D0F36"/>
    <w:rsid w:val="000D0F6D"/>
    <w:rsid w:val="000D3D30"/>
    <w:rsid w:val="000D56EA"/>
    <w:rsid w:val="000D579F"/>
    <w:rsid w:val="000D596C"/>
    <w:rsid w:val="000D696B"/>
    <w:rsid w:val="000D782E"/>
    <w:rsid w:val="000E3A27"/>
    <w:rsid w:val="000E3D7C"/>
    <w:rsid w:val="00100E32"/>
    <w:rsid w:val="0010651D"/>
    <w:rsid w:val="001075A8"/>
    <w:rsid w:val="001102AF"/>
    <w:rsid w:val="001151C4"/>
    <w:rsid w:val="00122CEE"/>
    <w:rsid w:val="00122F12"/>
    <w:rsid w:val="00124B43"/>
    <w:rsid w:val="001302A3"/>
    <w:rsid w:val="001310A8"/>
    <w:rsid w:val="00131E48"/>
    <w:rsid w:val="001330FF"/>
    <w:rsid w:val="001334E0"/>
    <w:rsid w:val="00137F6A"/>
    <w:rsid w:val="001423BE"/>
    <w:rsid w:val="00142976"/>
    <w:rsid w:val="0014358F"/>
    <w:rsid w:val="00145D76"/>
    <w:rsid w:val="0014662C"/>
    <w:rsid w:val="00150F06"/>
    <w:rsid w:val="001521EF"/>
    <w:rsid w:val="0015615C"/>
    <w:rsid w:val="00160681"/>
    <w:rsid w:val="00160B33"/>
    <w:rsid w:val="00162A60"/>
    <w:rsid w:val="00163915"/>
    <w:rsid w:val="001649A3"/>
    <w:rsid w:val="00167996"/>
    <w:rsid w:val="001679C4"/>
    <w:rsid w:val="00170A23"/>
    <w:rsid w:val="00170DD0"/>
    <w:rsid w:val="001713F3"/>
    <w:rsid w:val="001716F1"/>
    <w:rsid w:val="001773CC"/>
    <w:rsid w:val="0017789C"/>
    <w:rsid w:val="00177E50"/>
    <w:rsid w:val="0018230C"/>
    <w:rsid w:val="00183F67"/>
    <w:rsid w:val="00185E43"/>
    <w:rsid w:val="001908E3"/>
    <w:rsid w:val="001937B6"/>
    <w:rsid w:val="00194A41"/>
    <w:rsid w:val="00197BD3"/>
    <w:rsid w:val="001A019C"/>
    <w:rsid w:val="001A1DF0"/>
    <w:rsid w:val="001A21C4"/>
    <w:rsid w:val="001A42BD"/>
    <w:rsid w:val="001A42E1"/>
    <w:rsid w:val="001A4A24"/>
    <w:rsid w:val="001A5260"/>
    <w:rsid w:val="001A6946"/>
    <w:rsid w:val="001B109E"/>
    <w:rsid w:val="001B5189"/>
    <w:rsid w:val="001B5607"/>
    <w:rsid w:val="001C1FFF"/>
    <w:rsid w:val="001D3524"/>
    <w:rsid w:val="001D42A0"/>
    <w:rsid w:val="001D4889"/>
    <w:rsid w:val="001E4FEF"/>
    <w:rsid w:val="001F7F86"/>
    <w:rsid w:val="00200EB4"/>
    <w:rsid w:val="002012CC"/>
    <w:rsid w:val="0020170D"/>
    <w:rsid w:val="002036B2"/>
    <w:rsid w:val="0020759C"/>
    <w:rsid w:val="00211D13"/>
    <w:rsid w:val="00214E33"/>
    <w:rsid w:val="00216C4D"/>
    <w:rsid w:val="002208B5"/>
    <w:rsid w:val="00220A2F"/>
    <w:rsid w:val="00224EFF"/>
    <w:rsid w:val="002306C3"/>
    <w:rsid w:val="0023092F"/>
    <w:rsid w:val="0023395E"/>
    <w:rsid w:val="00234341"/>
    <w:rsid w:val="00235B87"/>
    <w:rsid w:val="00244970"/>
    <w:rsid w:val="0025151B"/>
    <w:rsid w:val="0025161A"/>
    <w:rsid w:val="00251973"/>
    <w:rsid w:val="00251B48"/>
    <w:rsid w:val="0026519E"/>
    <w:rsid w:val="002660DD"/>
    <w:rsid w:val="00266220"/>
    <w:rsid w:val="00266DBE"/>
    <w:rsid w:val="00271458"/>
    <w:rsid w:val="00272E37"/>
    <w:rsid w:val="00274C34"/>
    <w:rsid w:val="002750EB"/>
    <w:rsid w:val="0028357E"/>
    <w:rsid w:val="002845A5"/>
    <w:rsid w:val="00284C08"/>
    <w:rsid w:val="00287084"/>
    <w:rsid w:val="002929B3"/>
    <w:rsid w:val="00292BB9"/>
    <w:rsid w:val="00293D5D"/>
    <w:rsid w:val="002940C7"/>
    <w:rsid w:val="00297D6C"/>
    <w:rsid w:val="002A22C2"/>
    <w:rsid w:val="002A2B8D"/>
    <w:rsid w:val="002A3B96"/>
    <w:rsid w:val="002A4C37"/>
    <w:rsid w:val="002A50F0"/>
    <w:rsid w:val="002A55BD"/>
    <w:rsid w:val="002B2CF5"/>
    <w:rsid w:val="002B43D6"/>
    <w:rsid w:val="002B6074"/>
    <w:rsid w:val="002B7868"/>
    <w:rsid w:val="002C1FB9"/>
    <w:rsid w:val="002C363A"/>
    <w:rsid w:val="002D16B1"/>
    <w:rsid w:val="002D468B"/>
    <w:rsid w:val="002D49AB"/>
    <w:rsid w:val="002D61C2"/>
    <w:rsid w:val="002D62AA"/>
    <w:rsid w:val="002E1DED"/>
    <w:rsid w:val="002E7EC3"/>
    <w:rsid w:val="003055DB"/>
    <w:rsid w:val="00306900"/>
    <w:rsid w:val="00307752"/>
    <w:rsid w:val="0031213F"/>
    <w:rsid w:val="00312F0C"/>
    <w:rsid w:val="003140E9"/>
    <w:rsid w:val="0032585C"/>
    <w:rsid w:val="00332E2B"/>
    <w:rsid w:val="0033361B"/>
    <w:rsid w:val="0033390B"/>
    <w:rsid w:val="003363A8"/>
    <w:rsid w:val="0034756C"/>
    <w:rsid w:val="00352585"/>
    <w:rsid w:val="00357365"/>
    <w:rsid w:val="00362AC1"/>
    <w:rsid w:val="00364228"/>
    <w:rsid w:val="003646A2"/>
    <w:rsid w:val="003716E1"/>
    <w:rsid w:val="0038292A"/>
    <w:rsid w:val="0038430E"/>
    <w:rsid w:val="00385082"/>
    <w:rsid w:val="00386511"/>
    <w:rsid w:val="003875C1"/>
    <w:rsid w:val="00387BC5"/>
    <w:rsid w:val="003902F9"/>
    <w:rsid w:val="003946CF"/>
    <w:rsid w:val="00396E86"/>
    <w:rsid w:val="003A0314"/>
    <w:rsid w:val="003A37BC"/>
    <w:rsid w:val="003A7313"/>
    <w:rsid w:val="003B0256"/>
    <w:rsid w:val="003C1B35"/>
    <w:rsid w:val="003C2F78"/>
    <w:rsid w:val="003D1899"/>
    <w:rsid w:val="003D6572"/>
    <w:rsid w:val="003E014A"/>
    <w:rsid w:val="003E1F48"/>
    <w:rsid w:val="003E201E"/>
    <w:rsid w:val="003E2104"/>
    <w:rsid w:val="003E2AAE"/>
    <w:rsid w:val="003E4CFC"/>
    <w:rsid w:val="003E68FA"/>
    <w:rsid w:val="003F0AC6"/>
    <w:rsid w:val="003F0E51"/>
    <w:rsid w:val="00401372"/>
    <w:rsid w:val="00402842"/>
    <w:rsid w:val="00407FEE"/>
    <w:rsid w:val="00411A70"/>
    <w:rsid w:val="00412DA1"/>
    <w:rsid w:val="0041317D"/>
    <w:rsid w:val="004131A2"/>
    <w:rsid w:val="00416C9F"/>
    <w:rsid w:val="00416FB1"/>
    <w:rsid w:val="00424A0A"/>
    <w:rsid w:val="0043580F"/>
    <w:rsid w:val="00437832"/>
    <w:rsid w:val="00444602"/>
    <w:rsid w:val="0044491E"/>
    <w:rsid w:val="00444F52"/>
    <w:rsid w:val="00445CBF"/>
    <w:rsid w:val="00453C69"/>
    <w:rsid w:val="00453C94"/>
    <w:rsid w:val="0045456E"/>
    <w:rsid w:val="004557D3"/>
    <w:rsid w:val="00460B6F"/>
    <w:rsid w:val="00462368"/>
    <w:rsid w:val="00463517"/>
    <w:rsid w:val="00464056"/>
    <w:rsid w:val="00470B89"/>
    <w:rsid w:val="004816F8"/>
    <w:rsid w:val="0048380F"/>
    <w:rsid w:val="004839B2"/>
    <w:rsid w:val="00486503"/>
    <w:rsid w:val="0048727B"/>
    <w:rsid w:val="00487289"/>
    <w:rsid w:val="0049637F"/>
    <w:rsid w:val="004A088A"/>
    <w:rsid w:val="004A0E9C"/>
    <w:rsid w:val="004A1BE0"/>
    <w:rsid w:val="004A4895"/>
    <w:rsid w:val="004A498D"/>
    <w:rsid w:val="004A71E9"/>
    <w:rsid w:val="004B0FCA"/>
    <w:rsid w:val="004B5AAA"/>
    <w:rsid w:val="004B7A09"/>
    <w:rsid w:val="004C1D89"/>
    <w:rsid w:val="004C3EE3"/>
    <w:rsid w:val="004D19CD"/>
    <w:rsid w:val="004D39B4"/>
    <w:rsid w:val="004D495F"/>
    <w:rsid w:val="004D5C50"/>
    <w:rsid w:val="004E1D7B"/>
    <w:rsid w:val="004F03CA"/>
    <w:rsid w:val="004F1745"/>
    <w:rsid w:val="004F47F1"/>
    <w:rsid w:val="004F5313"/>
    <w:rsid w:val="004F7FEE"/>
    <w:rsid w:val="00501A3C"/>
    <w:rsid w:val="005020D1"/>
    <w:rsid w:val="00505776"/>
    <w:rsid w:val="0051275E"/>
    <w:rsid w:val="00514D90"/>
    <w:rsid w:val="00523BD1"/>
    <w:rsid w:val="00526515"/>
    <w:rsid w:val="005307C1"/>
    <w:rsid w:val="00536D11"/>
    <w:rsid w:val="00545FF6"/>
    <w:rsid w:val="00546D4F"/>
    <w:rsid w:val="00550835"/>
    <w:rsid w:val="005526B4"/>
    <w:rsid w:val="00557E36"/>
    <w:rsid w:val="00561414"/>
    <w:rsid w:val="00562E9D"/>
    <w:rsid w:val="0056432B"/>
    <w:rsid w:val="005646FC"/>
    <w:rsid w:val="005724F7"/>
    <w:rsid w:val="005760A6"/>
    <w:rsid w:val="005805DD"/>
    <w:rsid w:val="005836EB"/>
    <w:rsid w:val="005842A8"/>
    <w:rsid w:val="005939DD"/>
    <w:rsid w:val="00594AEF"/>
    <w:rsid w:val="00595536"/>
    <w:rsid w:val="0059776F"/>
    <w:rsid w:val="005A2255"/>
    <w:rsid w:val="005B2D48"/>
    <w:rsid w:val="005B659E"/>
    <w:rsid w:val="005B7B31"/>
    <w:rsid w:val="005C3FC5"/>
    <w:rsid w:val="005C4DEE"/>
    <w:rsid w:val="005C7561"/>
    <w:rsid w:val="005C7DA1"/>
    <w:rsid w:val="005D6E76"/>
    <w:rsid w:val="005E32F7"/>
    <w:rsid w:val="005E49D6"/>
    <w:rsid w:val="005E635C"/>
    <w:rsid w:val="005F157E"/>
    <w:rsid w:val="005F1AB1"/>
    <w:rsid w:val="005F21AD"/>
    <w:rsid w:val="005F5240"/>
    <w:rsid w:val="005F5805"/>
    <w:rsid w:val="00603FED"/>
    <w:rsid w:val="00604946"/>
    <w:rsid w:val="00605AB7"/>
    <w:rsid w:val="00612A07"/>
    <w:rsid w:val="006132DC"/>
    <w:rsid w:val="00614AC5"/>
    <w:rsid w:val="00614C5F"/>
    <w:rsid w:val="00616ABC"/>
    <w:rsid w:val="00624B85"/>
    <w:rsid w:val="006252EC"/>
    <w:rsid w:val="00625879"/>
    <w:rsid w:val="0062738F"/>
    <w:rsid w:val="006278C7"/>
    <w:rsid w:val="00631DC3"/>
    <w:rsid w:val="00634AC9"/>
    <w:rsid w:val="006375B2"/>
    <w:rsid w:val="00640F62"/>
    <w:rsid w:val="00643D01"/>
    <w:rsid w:val="00644FE0"/>
    <w:rsid w:val="00645FC0"/>
    <w:rsid w:val="0064716E"/>
    <w:rsid w:val="00650350"/>
    <w:rsid w:val="00652268"/>
    <w:rsid w:val="00656C28"/>
    <w:rsid w:val="00660016"/>
    <w:rsid w:val="00660DE4"/>
    <w:rsid w:val="00661DAA"/>
    <w:rsid w:val="00663E5D"/>
    <w:rsid w:val="00670410"/>
    <w:rsid w:val="0067301E"/>
    <w:rsid w:val="006735CA"/>
    <w:rsid w:val="00675B2A"/>
    <w:rsid w:val="006775DE"/>
    <w:rsid w:val="00680262"/>
    <w:rsid w:val="0068302C"/>
    <w:rsid w:val="006836D2"/>
    <w:rsid w:val="00686ECE"/>
    <w:rsid w:val="00690A9A"/>
    <w:rsid w:val="006914C2"/>
    <w:rsid w:val="00695F38"/>
    <w:rsid w:val="006A0A19"/>
    <w:rsid w:val="006A4509"/>
    <w:rsid w:val="006A5607"/>
    <w:rsid w:val="006A6086"/>
    <w:rsid w:val="006A763E"/>
    <w:rsid w:val="006B0E9C"/>
    <w:rsid w:val="006B1A2E"/>
    <w:rsid w:val="006B1A35"/>
    <w:rsid w:val="006B29C4"/>
    <w:rsid w:val="006B35BA"/>
    <w:rsid w:val="006B7C3B"/>
    <w:rsid w:val="006C48CF"/>
    <w:rsid w:val="006C4AC5"/>
    <w:rsid w:val="006D0907"/>
    <w:rsid w:val="006D28F1"/>
    <w:rsid w:val="006E7125"/>
    <w:rsid w:val="006F3B69"/>
    <w:rsid w:val="006F540D"/>
    <w:rsid w:val="006F56AD"/>
    <w:rsid w:val="00710B8F"/>
    <w:rsid w:val="00711C87"/>
    <w:rsid w:val="007130DC"/>
    <w:rsid w:val="00714D7B"/>
    <w:rsid w:val="00720274"/>
    <w:rsid w:val="00720871"/>
    <w:rsid w:val="00723607"/>
    <w:rsid w:val="00727A94"/>
    <w:rsid w:val="007327F7"/>
    <w:rsid w:val="00733B61"/>
    <w:rsid w:val="00736646"/>
    <w:rsid w:val="00737F98"/>
    <w:rsid w:val="00741F42"/>
    <w:rsid w:val="0074252A"/>
    <w:rsid w:val="0074657B"/>
    <w:rsid w:val="00750E89"/>
    <w:rsid w:val="00751946"/>
    <w:rsid w:val="00753E37"/>
    <w:rsid w:val="0075413A"/>
    <w:rsid w:val="00765749"/>
    <w:rsid w:val="00767056"/>
    <w:rsid w:val="00767E72"/>
    <w:rsid w:val="007705FE"/>
    <w:rsid w:val="00773430"/>
    <w:rsid w:val="0077771C"/>
    <w:rsid w:val="00780273"/>
    <w:rsid w:val="007824C7"/>
    <w:rsid w:val="00783622"/>
    <w:rsid w:val="007848B4"/>
    <w:rsid w:val="00797620"/>
    <w:rsid w:val="007A230D"/>
    <w:rsid w:val="007A2E4E"/>
    <w:rsid w:val="007A779D"/>
    <w:rsid w:val="007B2D6C"/>
    <w:rsid w:val="007B6012"/>
    <w:rsid w:val="007C2319"/>
    <w:rsid w:val="007C35EC"/>
    <w:rsid w:val="007C6C03"/>
    <w:rsid w:val="007D3C3D"/>
    <w:rsid w:val="007D4A6E"/>
    <w:rsid w:val="007D577D"/>
    <w:rsid w:val="007D7162"/>
    <w:rsid w:val="007D7334"/>
    <w:rsid w:val="007E0999"/>
    <w:rsid w:val="007E3A53"/>
    <w:rsid w:val="007E464C"/>
    <w:rsid w:val="007F00F1"/>
    <w:rsid w:val="007F35A6"/>
    <w:rsid w:val="007F773A"/>
    <w:rsid w:val="008067F7"/>
    <w:rsid w:val="00807460"/>
    <w:rsid w:val="0081278F"/>
    <w:rsid w:val="00813921"/>
    <w:rsid w:val="008147FB"/>
    <w:rsid w:val="008203C8"/>
    <w:rsid w:val="00820E6E"/>
    <w:rsid w:val="0082258C"/>
    <w:rsid w:val="00823A6F"/>
    <w:rsid w:val="00824506"/>
    <w:rsid w:val="00825523"/>
    <w:rsid w:val="00826451"/>
    <w:rsid w:val="00827BB9"/>
    <w:rsid w:val="00832531"/>
    <w:rsid w:val="00834ADB"/>
    <w:rsid w:val="00834CF6"/>
    <w:rsid w:val="00835A32"/>
    <w:rsid w:val="0083758A"/>
    <w:rsid w:val="00840FF5"/>
    <w:rsid w:val="008419E7"/>
    <w:rsid w:val="0084502D"/>
    <w:rsid w:val="008456A1"/>
    <w:rsid w:val="00846218"/>
    <w:rsid w:val="00846907"/>
    <w:rsid w:val="0084701B"/>
    <w:rsid w:val="00853F04"/>
    <w:rsid w:val="00863840"/>
    <w:rsid w:val="00865955"/>
    <w:rsid w:val="00867EA7"/>
    <w:rsid w:val="00870953"/>
    <w:rsid w:val="00870A79"/>
    <w:rsid w:val="0088044C"/>
    <w:rsid w:val="00883D40"/>
    <w:rsid w:val="0089011D"/>
    <w:rsid w:val="008929F7"/>
    <w:rsid w:val="008936CC"/>
    <w:rsid w:val="00893C3C"/>
    <w:rsid w:val="008A6662"/>
    <w:rsid w:val="008A6769"/>
    <w:rsid w:val="008B02F4"/>
    <w:rsid w:val="008B0BF4"/>
    <w:rsid w:val="008B26AD"/>
    <w:rsid w:val="008B5706"/>
    <w:rsid w:val="008B6E37"/>
    <w:rsid w:val="008C09D3"/>
    <w:rsid w:val="008C266D"/>
    <w:rsid w:val="008C4AB8"/>
    <w:rsid w:val="008C6AB3"/>
    <w:rsid w:val="008D0400"/>
    <w:rsid w:val="008D4A76"/>
    <w:rsid w:val="008D514E"/>
    <w:rsid w:val="008D7E7F"/>
    <w:rsid w:val="008E0405"/>
    <w:rsid w:val="008E115C"/>
    <w:rsid w:val="008E1B19"/>
    <w:rsid w:val="008E5973"/>
    <w:rsid w:val="008F075A"/>
    <w:rsid w:val="008F0E3F"/>
    <w:rsid w:val="008F2D6F"/>
    <w:rsid w:val="008F5AED"/>
    <w:rsid w:val="008F6784"/>
    <w:rsid w:val="00901A56"/>
    <w:rsid w:val="00913939"/>
    <w:rsid w:val="00914516"/>
    <w:rsid w:val="0091466B"/>
    <w:rsid w:val="00914C2E"/>
    <w:rsid w:val="009215DD"/>
    <w:rsid w:val="00923F23"/>
    <w:rsid w:val="0092666A"/>
    <w:rsid w:val="00930D65"/>
    <w:rsid w:val="00935A63"/>
    <w:rsid w:val="00942F03"/>
    <w:rsid w:val="00946A09"/>
    <w:rsid w:val="00947058"/>
    <w:rsid w:val="00957073"/>
    <w:rsid w:val="00960AAF"/>
    <w:rsid w:val="00961F93"/>
    <w:rsid w:val="009648D0"/>
    <w:rsid w:val="009719CB"/>
    <w:rsid w:val="009720DA"/>
    <w:rsid w:val="00974544"/>
    <w:rsid w:val="00974BF3"/>
    <w:rsid w:val="009763DB"/>
    <w:rsid w:val="00983206"/>
    <w:rsid w:val="009865C4"/>
    <w:rsid w:val="0099486B"/>
    <w:rsid w:val="00995CBF"/>
    <w:rsid w:val="00996A70"/>
    <w:rsid w:val="00997BCA"/>
    <w:rsid w:val="009A0D13"/>
    <w:rsid w:val="009A3B9E"/>
    <w:rsid w:val="009A3DDF"/>
    <w:rsid w:val="009A77A6"/>
    <w:rsid w:val="009B535D"/>
    <w:rsid w:val="009C2403"/>
    <w:rsid w:val="009E0E41"/>
    <w:rsid w:val="009E398F"/>
    <w:rsid w:val="009E555B"/>
    <w:rsid w:val="009E69F8"/>
    <w:rsid w:val="009F3663"/>
    <w:rsid w:val="009F5FE9"/>
    <w:rsid w:val="009F672B"/>
    <w:rsid w:val="00A04275"/>
    <w:rsid w:val="00A05831"/>
    <w:rsid w:val="00A05DC2"/>
    <w:rsid w:val="00A06BDD"/>
    <w:rsid w:val="00A12A87"/>
    <w:rsid w:val="00A13EBC"/>
    <w:rsid w:val="00A225CB"/>
    <w:rsid w:val="00A31A56"/>
    <w:rsid w:val="00A34835"/>
    <w:rsid w:val="00A3656F"/>
    <w:rsid w:val="00A36579"/>
    <w:rsid w:val="00A36831"/>
    <w:rsid w:val="00A3724C"/>
    <w:rsid w:val="00A47745"/>
    <w:rsid w:val="00A47F5F"/>
    <w:rsid w:val="00A506DC"/>
    <w:rsid w:val="00A523CC"/>
    <w:rsid w:val="00A5297F"/>
    <w:rsid w:val="00A52E46"/>
    <w:rsid w:val="00A54386"/>
    <w:rsid w:val="00A54EAA"/>
    <w:rsid w:val="00A5527E"/>
    <w:rsid w:val="00A6100C"/>
    <w:rsid w:val="00A6225A"/>
    <w:rsid w:val="00A62913"/>
    <w:rsid w:val="00A62E7E"/>
    <w:rsid w:val="00A637F1"/>
    <w:rsid w:val="00A70752"/>
    <w:rsid w:val="00A70BB9"/>
    <w:rsid w:val="00A737A1"/>
    <w:rsid w:val="00A75608"/>
    <w:rsid w:val="00A808BB"/>
    <w:rsid w:val="00A821E3"/>
    <w:rsid w:val="00A82EA2"/>
    <w:rsid w:val="00A8336E"/>
    <w:rsid w:val="00A90B02"/>
    <w:rsid w:val="00A93128"/>
    <w:rsid w:val="00A957E3"/>
    <w:rsid w:val="00A958B6"/>
    <w:rsid w:val="00AA02B6"/>
    <w:rsid w:val="00AA04A4"/>
    <w:rsid w:val="00AA2991"/>
    <w:rsid w:val="00AA61A3"/>
    <w:rsid w:val="00AB0939"/>
    <w:rsid w:val="00AB1DA3"/>
    <w:rsid w:val="00AB4C2C"/>
    <w:rsid w:val="00AB76C1"/>
    <w:rsid w:val="00AB7E53"/>
    <w:rsid w:val="00AC0341"/>
    <w:rsid w:val="00AC06CD"/>
    <w:rsid w:val="00AC0758"/>
    <w:rsid w:val="00AC30A2"/>
    <w:rsid w:val="00AD1EB8"/>
    <w:rsid w:val="00AD42BB"/>
    <w:rsid w:val="00AD769E"/>
    <w:rsid w:val="00AD770F"/>
    <w:rsid w:val="00AD7ED3"/>
    <w:rsid w:val="00AE4A12"/>
    <w:rsid w:val="00AF38CF"/>
    <w:rsid w:val="00AF7E70"/>
    <w:rsid w:val="00B011D8"/>
    <w:rsid w:val="00B045C4"/>
    <w:rsid w:val="00B05DF1"/>
    <w:rsid w:val="00B10FED"/>
    <w:rsid w:val="00B1246F"/>
    <w:rsid w:val="00B12C44"/>
    <w:rsid w:val="00B15995"/>
    <w:rsid w:val="00B1625D"/>
    <w:rsid w:val="00B16707"/>
    <w:rsid w:val="00B21C1D"/>
    <w:rsid w:val="00B239A5"/>
    <w:rsid w:val="00B25828"/>
    <w:rsid w:val="00B3096D"/>
    <w:rsid w:val="00B30AD0"/>
    <w:rsid w:val="00B31141"/>
    <w:rsid w:val="00B322AE"/>
    <w:rsid w:val="00B342FC"/>
    <w:rsid w:val="00B35816"/>
    <w:rsid w:val="00B35EB1"/>
    <w:rsid w:val="00B37AD2"/>
    <w:rsid w:val="00B4187F"/>
    <w:rsid w:val="00B41D28"/>
    <w:rsid w:val="00B43CA2"/>
    <w:rsid w:val="00B451E2"/>
    <w:rsid w:val="00B45A87"/>
    <w:rsid w:val="00B467CC"/>
    <w:rsid w:val="00B50416"/>
    <w:rsid w:val="00B5237F"/>
    <w:rsid w:val="00B5400A"/>
    <w:rsid w:val="00B57046"/>
    <w:rsid w:val="00B6038D"/>
    <w:rsid w:val="00B711CB"/>
    <w:rsid w:val="00B754A9"/>
    <w:rsid w:val="00B76326"/>
    <w:rsid w:val="00B768B5"/>
    <w:rsid w:val="00B81319"/>
    <w:rsid w:val="00B8275E"/>
    <w:rsid w:val="00B84BD5"/>
    <w:rsid w:val="00B90F04"/>
    <w:rsid w:val="00B90FC1"/>
    <w:rsid w:val="00B92871"/>
    <w:rsid w:val="00B92AEC"/>
    <w:rsid w:val="00B97363"/>
    <w:rsid w:val="00BB2B89"/>
    <w:rsid w:val="00BC2C84"/>
    <w:rsid w:val="00BC4060"/>
    <w:rsid w:val="00BD35DB"/>
    <w:rsid w:val="00BD5DE9"/>
    <w:rsid w:val="00BD6F2F"/>
    <w:rsid w:val="00BD721E"/>
    <w:rsid w:val="00BE0524"/>
    <w:rsid w:val="00BE5ACC"/>
    <w:rsid w:val="00BE6AC7"/>
    <w:rsid w:val="00BE6B5B"/>
    <w:rsid w:val="00BE6DC6"/>
    <w:rsid w:val="00BE7B38"/>
    <w:rsid w:val="00BE7CD7"/>
    <w:rsid w:val="00BF0F47"/>
    <w:rsid w:val="00BF1333"/>
    <w:rsid w:val="00BF2D18"/>
    <w:rsid w:val="00BF3239"/>
    <w:rsid w:val="00C0153C"/>
    <w:rsid w:val="00C024BB"/>
    <w:rsid w:val="00C037AC"/>
    <w:rsid w:val="00C04B3A"/>
    <w:rsid w:val="00C05D7D"/>
    <w:rsid w:val="00C11730"/>
    <w:rsid w:val="00C11ECE"/>
    <w:rsid w:val="00C13485"/>
    <w:rsid w:val="00C17EE3"/>
    <w:rsid w:val="00C20FE9"/>
    <w:rsid w:val="00C23287"/>
    <w:rsid w:val="00C330C4"/>
    <w:rsid w:val="00C3622D"/>
    <w:rsid w:val="00C36396"/>
    <w:rsid w:val="00C413C9"/>
    <w:rsid w:val="00C42584"/>
    <w:rsid w:val="00C46DE2"/>
    <w:rsid w:val="00C472A8"/>
    <w:rsid w:val="00C51CD9"/>
    <w:rsid w:val="00C55967"/>
    <w:rsid w:val="00C57A2B"/>
    <w:rsid w:val="00C629D5"/>
    <w:rsid w:val="00C6518B"/>
    <w:rsid w:val="00C663AC"/>
    <w:rsid w:val="00C66B56"/>
    <w:rsid w:val="00C730FC"/>
    <w:rsid w:val="00C74F5B"/>
    <w:rsid w:val="00C75F17"/>
    <w:rsid w:val="00C7653E"/>
    <w:rsid w:val="00C80EBF"/>
    <w:rsid w:val="00C93843"/>
    <w:rsid w:val="00CA4A7E"/>
    <w:rsid w:val="00CA54FC"/>
    <w:rsid w:val="00CA5B29"/>
    <w:rsid w:val="00CA7A16"/>
    <w:rsid w:val="00CB14A2"/>
    <w:rsid w:val="00CB327C"/>
    <w:rsid w:val="00CB723C"/>
    <w:rsid w:val="00CC01B6"/>
    <w:rsid w:val="00CC05B9"/>
    <w:rsid w:val="00CC2885"/>
    <w:rsid w:val="00CC3838"/>
    <w:rsid w:val="00CC54C7"/>
    <w:rsid w:val="00CD1588"/>
    <w:rsid w:val="00CD1E1F"/>
    <w:rsid w:val="00CD4CA1"/>
    <w:rsid w:val="00CE28D3"/>
    <w:rsid w:val="00CF311B"/>
    <w:rsid w:val="00CF448B"/>
    <w:rsid w:val="00CF6D58"/>
    <w:rsid w:val="00CF7CE8"/>
    <w:rsid w:val="00D00447"/>
    <w:rsid w:val="00D021D5"/>
    <w:rsid w:val="00D10DAB"/>
    <w:rsid w:val="00D11C7E"/>
    <w:rsid w:val="00D14803"/>
    <w:rsid w:val="00D1508F"/>
    <w:rsid w:val="00D163A9"/>
    <w:rsid w:val="00D2310E"/>
    <w:rsid w:val="00D2520F"/>
    <w:rsid w:val="00D3044B"/>
    <w:rsid w:val="00D33498"/>
    <w:rsid w:val="00D33CBF"/>
    <w:rsid w:val="00D361B0"/>
    <w:rsid w:val="00D44005"/>
    <w:rsid w:val="00D50858"/>
    <w:rsid w:val="00D54CD5"/>
    <w:rsid w:val="00D55242"/>
    <w:rsid w:val="00D5615A"/>
    <w:rsid w:val="00D57EEF"/>
    <w:rsid w:val="00D71DDB"/>
    <w:rsid w:val="00D73B6E"/>
    <w:rsid w:val="00D77F9F"/>
    <w:rsid w:val="00D80D83"/>
    <w:rsid w:val="00D90387"/>
    <w:rsid w:val="00D91177"/>
    <w:rsid w:val="00D92FC2"/>
    <w:rsid w:val="00D95169"/>
    <w:rsid w:val="00D978E9"/>
    <w:rsid w:val="00DA4CF8"/>
    <w:rsid w:val="00DB264F"/>
    <w:rsid w:val="00DB36FB"/>
    <w:rsid w:val="00DB4F4F"/>
    <w:rsid w:val="00DB7081"/>
    <w:rsid w:val="00DB7125"/>
    <w:rsid w:val="00DC0C87"/>
    <w:rsid w:val="00DC145B"/>
    <w:rsid w:val="00DC1E0B"/>
    <w:rsid w:val="00DC3D5B"/>
    <w:rsid w:val="00DC3E77"/>
    <w:rsid w:val="00DC4D00"/>
    <w:rsid w:val="00DC7FDC"/>
    <w:rsid w:val="00DD1558"/>
    <w:rsid w:val="00DE27E1"/>
    <w:rsid w:val="00DE3C0C"/>
    <w:rsid w:val="00DE7F00"/>
    <w:rsid w:val="00DF0A13"/>
    <w:rsid w:val="00DF14A4"/>
    <w:rsid w:val="00DF2355"/>
    <w:rsid w:val="00DF3C35"/>
    <w:rsid w:val="00DF3CC0"/>
    <w:rsid w:val="00DF6272"/>
    <w:rsid w:val="00E03424"/>
    <w:rsid w:val="00E03F32"/>
    <w:rsid w:val="00E044A4"/>
    <w:rsid w:val="00E0712C"/>
    <w:rsid w:val="00E1416E"/>
    <w:rsid w:val="00E15ADC"/>
    <w:rsid w:val="00E211EF"/>
    <w:rsid w:val="00E21A89"/>
    <w:rsid w:val="00E31461"/>
    <w:rsid w:val="00E31E66"/>
    <w:rsid w:val="00E350C9"/>
    <w:rsid w:val="00E35C8F"/>
    <w:rsid w:val="00E376A0"/>
    <w:rsid w:val="00E43F57"/>
    <w:rsid w:val="00E45037"/>
    <w:rsid w:val="00E4538A"/>
    <w:rsid w:val="00E53000"/>
    <w:rsid w:val="00E54D3F"/>
    <w:rsid w:val="00E569AB"/>
    <w:rsid w:val="00E57E87"/>
    <w:rsid w:val="00E64B4A"/>
    <w:rsid w:val="00E6505D"/>
    <w:rsid w:val="00E660D0"/>
    <w:rsid w:val="00E67215"/>
    <w:rsid w:val="00E70885"/>
    <w:rsid w:val="00E72A76"/>
    <w:rsid w:val="00E738CA"/>
    <w:rsid w:val="00E769AC"/>
    <w:rsid w:val="00E770A2"/>
    <w:rsid w:val="00E81414"/>
    <w:rsid w:val="00E818FC"/>
    <w:rsid w:val="00E8245A"/>
    <w:rsid w:val="00E84115"/>
    <w:rsid w:val="00E85330"/>
    <w:rsid w:val="00E90ABD"/>
    <w:rsid w:val="00E93C31"/>
    <w:rsid w:val="00EA4166"/>
    <w:rsid w:val="00EA7656"/>
    <w:rsid w:val="00EB0422"/>
    <w:rsid w:val="00EB05D7"/>
    <w:rsid w:val="00EB331C"/>
    <w:rsid w:val="00EB3CE7"/>
    <w:rsid w:val="00EB4F8D"/>
    <w:rsid w:val="00EB50B5"/>
    <w:rsid w:val="00EC4254"/>
    <w:rsid w:val="00ED6513"/>
    <w:rsid w:val="00EE4C01"/>
    <w:rsid w:val="00EF246B"/>
    <w:rsid w:val="00EF26DE"/>
    <w:rsid w:val="00EF5C14"/>
    <w:rsid w:val="00EF71F1"/>
    <w:rsid w:val="00EF7490"/>
    <w:rsid w:val="00F01A72"/>
    <w:rsid w:val="00F05F28"/>
    <w:rsid w:val="00F07C45"/>
    <w:rsid w:val="00F14E22"/>
    <w:rsid w:val="00F16573"/>
    <w:rsid w:val="00F202F5"/>
    <w:rsid w:val="00F2113D"/>
    <w:rsid w:val="00F21691"/>
    <w:rsid w:val="00F249E5"/>
    <w:rsid w:val="00F27D97"/>
    <w:rsid w:val="00F27F64"/>
    <w:rsid w:val="00F30DBB"/>
    <w:rsid w:val="00F3454A"/>
    <w:rsid w:val="00F34721"/>
    <w:rsid w:val="00F43E26"/>
    <w:rsid w:val="00F4484B"/>
    <w:rsid w:val="00F50820"/>
    <w:rsid w:val="00F51EFF"/>
    <w:rsid w:val="00F5485C"/>
    <w:rsid w:val="00F56E0B"/>
    <w:rsid w:val="00F579ED"/>
    <w:rsid w:val="00F57D3C"/>
    <w:rsid w:val="00F60669"/>
    <w:rsid w:val="00F60792"/>
    <w:rsid w:val="00F6632D"/>
    <w:rsid w:val="00F67FDA"/>
    <w:rsid w:val="00F724AB"/>
    <w:rsid w:val="00F72E70"/>
    <w:rsid w:val="00F749B8"/>
    <w:rsid w:val="00F81F73"/>
    <w:rsid w:val="00F84B9F"/>
    <w:rsid w:val="00F84FA3"/>
    <w:rsid w:val="00F84FB9"/>
    <w:rsid w:val="00FA0F75"/>
    <w:rsid w:val="00FA1E18"/>
    <w:rsid w:val="00FA45DE"/>
    <w:rsid w:val="00FA503E"/>
    <w:rsid w:val="00FB3F98"/>
    <w:rsid w:val="00FB7B2C"/>
    <w:rsid w:val="00FC1BC3"/>
    <w:rsid w:val="00FC3418"/>
    <w:rsid w:val="00FC3963"/>
    <w:rsid w:val="00FC4021"/>
    <w:rsid w:val="00FC6244"/>
    <w:rsid w:val="00FC64AF"/>
    <w:rsid w:val="00FC6668"/>
    <w:rsid w:val="00FC6FCC"/>
    <w:rsid w:val="00FD2A02"/>
    <w:rsid w:val="00FD4FEA"/>
    <w:rsid w:val="00FE2F02"/>
    <w:rsid w:val="00FE5080"/>
    <w:rsid w:val="00FE59A1"/>
    <w:rsid w:val="00FE676E"/>
    <w:rsid w:val="00FF02CE"/>
    <w:rsid w:val="00FF05AA"/>
    <w:rsid w:val="00FF24D3"/>
    <w:rsid w:val="00FF4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0A2"/>
    <w:pPr>
      <w:spacing w:after="200" w:line="276" w:lineRule="auto"/>
    </w:pPr>
    <w:rPr>
      <w:sz w:val="22"/>
      <w:szCs w:val="22"/>
      <w:lang w:eastAsia="en-US"/>
    </w:rPr>
  </w:style>
  <w:style w:type="paragraph" w:styleId="1">
    <w:name w:val="heading 1"/>
    <w:basedOn w:val="a"/>
    <w:link w:val="10"/>
    <w:uiPriority w:val="99"/>
    <w:qFormat/>
    <w:locked/>
    <w:rsid w:val="00643D0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3D01"/>
    <w:rPr>
      <w:rFonts w:ascii="Times New Roman" w:hAnsi="Times New Roman" w:cs="Times New Roman"/>
      <w:b/>
      <w:bCs/>
      <w:kern w:val="36"/>
      <w:sz w:val="48"/>
      <w:szCs w:val="48"/>
      <w:lang w:val="ru-RU" w:eastAsia="ru-RU"/>
    </w:rPr>
  </w:style>
  <w:style w:type="paragraph" w:styleId="a3">
    <w:name w:val="header"/>
    <w:basedOn w:val="a"/>
    <w:link w:val="a4"/>
    <w:uiPriority w:val="99"/>
    <w:rsid w:val="002929B3"/>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2929B3"/>
    <w:rPr>
      <w:rFonts w:cs="Times New Roman"/>
    </w:rPr>
  </w:style>
  <w:style w:type="paragraph" w:styleId="a5">
    <w:name w:val="footer"/>
    <w:basedOn w:val="a"/>
    <w:link w:val="a6"/>
    <w:uiPriority w:val="99"/>
    <w:rsid w:val="002929B3"/>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2929B3"/>
    <w:rPr>
      <w:rFonts w:cs="Times New Roman"/>
    </w:rPr>
  </w:style>
  <w:style w:type="paragraph" w:styleId="a7">
    <w:name w:val="Balloon Text"/>
    <w:basedOn w:val="a"/>
    <w:link w:val="a8"/>
    <w:uiPriority w:val="99"/>
    <w:semiHidden/>
    <w:rsid w:val="002929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929B3"/>
    <w:rPr>
      <w:rFonts w:ascii="Tahoma" w:hAnsi="Tahoma" w:cs="Tahoma"/>
      <w:sz w:val="16"/>
      <w:szCs w:val="16"/>
    </w:rPr>
  </w:style>
  <w:style w:type="paragraph" w:customStyle="1" w:styleId="11">
    <w:name w:val="1 Обычный текст"/>
    <w:link w:val="12"/>
    <w:qFormat/>
    <w:rsid w:val="00E770A2"/>
    <w:pPr>
      <w:spacing w:after="120"/>
      <w:ind w:firstLine="567"/>
      <w:jc w:val="both"/>
    </w:pPr>
    <w:rPr>
      <w:rFonts w:ascii="Cambria" w:hAnsi="Cambria"/>
      <w:sz w:val="24"/>
      <w:szCs w:val="22"/>
      <w:lang w:eastAsia="en-US"/>
    </w:rPr>
  </w:style>
  <w:style w:type="paragraph" w:customStyle="1" w:styleId="13">
    <w:name w:val="1 Заголовок текста"/>
    <w:basedOn w:val="11"/>
    <w:next w:val="11"/>
    <w:link w:val="14"/>
    <w:qFormat/>
    <w:rsid w:val="00E770A2"/>
    <w:pPr>
      <w:jc w:val="center"/>
    </w:pPr>
    <w:rPr>
      <w:b/>
      <w:sz w:val="32"/>
    </w:rPr>
  </w:style>
  <w:style w:type="paragraph" w:customStyle="1" w:styleId="15">
    <w:name w:val="1 Рубрика"/>
    <w:basedOn w:val="13"/>
    <w:next w:val="11"/>
    <w:link w:val="16"/>
    <w:qFormat/>
    <w:rsid w:val="00F27D97"/>
    <w:pPr>
      <w:ind w:firstLine="0"/>
    </w:pPr>
    <w:rPr>
      <w:b w:val="0"/>
    </w:rPr>
  </w:style>
  <w:style w:type="character" w:customStyle="1" w:styleId="12">
    <w:name w:val="1 Обычный текст Знак"/>
    <w:basedOn w:val="a0"/>
    <w:link w:val="11"/>
    <w:locked/>
    <w:rsid w:val="00E770A2"/>
    <w:rPr>
      <w:rFonts w:ascii="Cambria" w:hAnsi="Cambria"/>
      <w:sz w:val="24"/>
      <w:szCs w:val="22"/>
      <w:lang w:val="ru-RU" w:eastAsia="en-US" w:bidi="ar-SA"/>
    </w:rPr>
  </w:style>
  <w:style w:type="character" w:customStyle="1" w:styleId="14">
    <w:name w:val="1 Заголовок текста Знак"/>
    <w:basedOn w:val="12"/>
    <w:link w:val="13"/>
    <w:locked/>
    <w:rsid w:val="00E770A2"/>
    <w:rPr>
      <w:rFonts w:ascii="Cambria" w:hAnsi="Cambria"/>
      <w:b/>
      <w:sz w:val="24"/>
      <w:szCs w:val="22"/>
      <w:lang w:val="ru-RU" w:eastAsia="en-US" w:bidi="ar-SA"/>
    </w:rPr>
  </w:style>
  <w:style w:type="character" w:customStyle="1" w:styleId="16">
    <w:name w:val="1 Рубрика Знак"/>
    <w:basedOn w:val="14"/>
    <w:link w:val="15"/>
    <w:locked/>
    <w:rsid w:val="00F27D97"/>
    <w:rPr>
      <w:rFonts w:ascii="Cambria" w:hAnsi="Cambria"/>
      <w:b/>
      <w:sz w:val="24"/>
      <w:szCs w:val="22"/>
      <w:lang w:val="ru-RU" w:eastAsia="en-US" w:bidi="ar-SA"/>
    </w:rPr>
  </w:style>
  <w:style w:type="paragraph" w:styleId="a9">
    <w:name w:val="List Paragraph"/>
    <w:basedOn w:val="a"/>
    <w:uiPriority w:val="34"/>
    <w:qFormat/>
    <w:rsid w:val="00E770A2"/>
    <w:pPr>
      <w:ind w:left="720"/>
      <w:contextualSpacing/>
    </w:pPr>
  </w:style>
  <w:style w:type="character" w:styleId="aa">
    <w:name w:val="Strong"/>
    <w:basedOn w:val="a0"/>
    <w:uiPriority w:val="22"/>
    <w:qFormat/>
    <w:locked/>
    <w:rsid w:val="00C6518B"/>
    <w:rPr>
      <w:rFonts w:cs="Times New Roman"/>
      <w:b/>
      <w:bCs/>
    </w:rPr>
  </w:style>
  <w:style w:type="character" w:customStyle="1" w:styleId="apple-converted-space">
    <w:name w:val="apple-converted-space"/>
    <w:basedOn w:val="a0"/>
    <w:rsid w:val="00643D01"/>
    <w:rPr>
      <w:rFonts w:cs="Times New Roman"/>
    </w:rPr>
  </w:style>
  <w:style w:type="table" w:customStyle="1" w:styleId="17">
    <w:name w:val="Светлая заливка1"/>
    <w:uiPriority w:val="99"/>
    <w:rsid w:val="00E45037"/>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ab">
    <w:name w:val="Normal (Web)"/>
    <w:basedOn w:val="a"/>
    <w:uiPriority w:val="99"/>
    <w:rsid w:val="003E1F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7">
    <w:name w:val="text7"/>
    <w:basedOn w:val="a0"/>
    <w:uiPriority w:val="99"/>
    <w:rsid w:val="003E1F48"/>
    <w:rPr>
      <w:rFonts w:cs="Times New Roman"/>
    </w:rPr>
  </w:style>
  <w:style w:type="character" w:styleId="ac">
    <w:name w:val="Hyperlink"/>
    <w:basedOn w:val="a0"/>
    <w:uiPriority w:val="99"/>
    <w:rsid w:val="00824506"/>
    <w:rPr>
      <w:rFonts w:cs="Times New Roman"/>
      <w:color w:val="0000FF"/>
      <w:u w:val="single"/>
    </w:rPr>
  </w:style>
  <w:style w:type="character" w:styleId="ad">
    <w:name w:val="FollowedHyperlink"/>
    <w:basedOn w:val="a0"/>
    <w:uiPriority w:val="99"/>
    <w:semiHidden/>
    <w:unhideWhenUsed/>
    <w:rsid w:val="00D57E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3118">
      <w:bodyDiv w:val="1"/>
      <w:marLeft w:val="0"/>
      <w:marRight w:val="0"/>
      <w:marTop w:val="0"/>
      <w:marBottom w:val="0"/>
      <w:divBdr>
        <w:top w:val="none" w:sz="0" w:space="0" w:color="auto"/>
        <w:left w:val="none" w:sz="0" w:space="0" w:color="auto"/>
        <w:bottom w:val="none" w:sz="0" w:space="0" w:color="auto"/>
        <w:right w:val="none" w:sz="0" w:space="0" w:color="auto"/>
      </w:divBdr>
    </w:div>
    <w:div w:id="18045629">
      <w:bodyDiv w:val="1"/>
      <w:marLeft w:val="0"/>
      <w:marRight w:val="0"/>
      <w:marTop w:val="0"/>
      <w:marBottom w:val="0"/>
      <w:divBdr>
        <w:top w:val="none" w:sz="0" w:space="0" w:color="auto"/>
        <w:left w:val="none" w:sz="0" w:space="0" w:color="auto"/>
        <w:bottom w:val="none" w:sz="0" w:space="0" w:color="auto"/>
        <w:right w:val="none" w:sz="0" w:space="0" w:color="auto"/>
      </w:divBdr>
    </w:div>
    <w:div w:id="18748090">
      <w:bodyDiv w:val="1"/>
      <w:marLeft w:val="0"/>
      <w:marRight w:val="0"/>
      <w:marTop w:val="0"/>
      <w:marBottom w:val="0"/>
      <w:divBdr>
        <w:top w:val="none" w:sz="0" w:space="0" w:color="auto"/>
        <w:left w:val="none" w:sz="0" w:space="0" w:color="auto"/>
        <w:bottom w:val="none" w:sz="0" w:space="0" w:color="auto"/>
        <w:right w:val="none" w:sz="0" w:space="0" w:color="auto"/>
      </w:divBdr>
    </w:div>
    <w:div w:id="168493997">
      <w:bodyDiv w:val="1"/>
      <w:marLeft w:val="0"/>
      <w:marRight w:val="0"/>
      <w:marTop w:val="0"/>
      <w:marBottom w:val="0"/>
      <w:divBdr>
        <w:top w:val="none" w:sz="0" w:space="0" w:color="auto"/>
        <w:left w:val="none" w:sz="0" w:space="0" w:color="auto"/>
        <w:bottom w:val="none" w:sz="0" w:space="0" w:color="auto"/>
        <w:right w:val="none" w:sz="0" w:space="0" w:color="auto"/>
      </w:divBdr>
    </w:div>
    <w:div w:id="213858271">
      <w:bodyDiv w:val="1"/>
      <w:marLeft w:val="0"/>
      <w:marRight w:val="0"/>
      <w:marTop w:val="0"/>
      <w:marBottom w:val="0"/>
      <w:divBdr>
        <w:top w:val="none" w:sz="0" w:space="0" w:color="auto"/>
        <w:left w:val="none" w:sz="0" w:space="0" w:color="auto"/>
        <w:bottom w:val="none" w:sz="0" w:space="0" w:color="auto"/>
        <w:right w:val="none" w:sz="0" w:space="0" w:color="auto"/>
      </w:divBdr>
    </w:div>
    <w:div w:id="287711790">
      <w:bodyDiv w:val="1"/>
      <w:marLeft w:val="0"/>
      <w:marRight w:val="0"/>
      <w:marTop w:val="0"/>
      <w:marBottom w:val="0"/>
      <w:divBdr>
        <w:top w:val="none" w:sz="0" w:space="0" w:color="auto"/>
        <w:left w:val="none" w:sz="0" w:space="0" w:color="auto"/>
        <w:bottom w:val="none" w:sz="0" w:space="0" w:color="auto"/>
        <w:right w:val="none" w:sz="0" w:space="0" w:color="auto"/>
      </w:divBdr>
    </w:div>
    <w:div w:id="346711113">
      <w:bodyDiv w:val="1"/>
      <w:marLeft w:val="0"/>
      <w:marRight w:val="0"/>
      <w:marTop w:val="0"/>
      <w:marBottom w:val="0"/>
      <w:divBdr>
        <w:top w:val="none" w:sz="0" w:space="0" w:color="auto"/>
        <w:left w:val="none" w:sz="0" w:space="0" w:color="auto"/>
        <w:bottom w:val="none" w:sz="0" w:space="0" w:color="auto"/>
        <w:right w:val="none" w:sz="0" w:space="0" w:color="auto"/>
      </w:divBdr>
    </w:div>
    <w:div w:id="378477355">
      <w:bodyDiv w:val="1"/>
      <w:marLeft w:val="0"/>
      <w:marRight w:val="0"/>
      <w:marTop w:val="0"/>
      <w:marBottom w:val="0"/>
      <w:divBdr>
        <w:top w:val="none" w:sz="0" w:space="0" w:color="auto"/>
        <w:left w:val="none" w:sz="0" w:space="0" w:color="auto"/>
        <w:bottom w:val="none" w:sz="0" w:space="0" w:color="auto"/>
        <w:right w:val="none" w:sz="0" w:space="0" w:color="auto"/>
      </w:divBdr>
    </w:div>
    <w:div w:id="465128196">
      <w:bodyDiv w:val="1"/>
      <w:marLeft w:val="0"/>
      <w:marRight w:val="0"/>
      <w:marTop w:val="0"/>
      <w:marBottom w:val="0"/>
      <w:divBdr>
        <w:top w:val="none" w:sz="0" w:space="0" w:color="auto"/>
        <w:left w:val="none" w:sz="0" w:space="0" w:color="auto"/>
        <w:bottom w:val="none" w:sz="0" w:space="0" w:color="auto"/>
        <w:right w:val="none" w:sz="0" w:space="0" w:color="auto"/>
      </w:divBdr>
    </w:div>
    <w:div w:id="681319089">
      <w:bodyDiv w:val="1"/>
      <w:marLeft w:val="0"/>
      <w:marRight w:val="0"/>
      <w:marTop w:val="0"/>
      <w:marBottom w:val="0"/>
      <w:divBdr>
        <w:top w:val="none" w:sz="0" w:space="0" w:color="auto"/>
        <w:left w:val="none" w:sz="0" w:space="0" w:color="auto"/>
        <w:bottom w:val="none" w:sz="0" w:space="0" w:color="auto"/>
        <w:right w:val="none" w:sz="0" w:space="0" w:color="auto"/>
      </w:divBdr>
      <w:divsChild>
        <w:div w:id="1386178185">
          <w:marLeft w:val="0"/>
          <w:marRight w:val="0"/>
          <w:marTop w:val="0"/>
          <w:marBottom w:val="0"/>
          <w:divBdr>
            <w:top w:val="none" w:sz="0" w:space="0" w:color="auto"/>
            <w:left w:val="none" w:sz="0" w:space="0" w:color="auto"/>
            <w:bottom w:val="none" w:sz="0" w:space="0" w:color="auto"/>
            <w:right w:val="none" w:sz="0" w:space="0" w:color="auto"/>
          </w:divBdr>
        </w:div>
        <w:div w:id="489827369">
          <w:marLeft w:val="0"/>
          <w:marRight w:val="0"/>
          <w:marTop w:val="0"/>
          <w:marBottom w:val="0"/>
          <w:divBdr>
            <w:top w:val="none" w:sz="0" w:space="0" w:color="auto"/>
            <w:left w:val="none" w:sz="0" w:space="0" w:color="auto"/>
            <w:bottom w:val="none" w:sz="0" w:space="0" w:color="auto"/>
            <w:right w:val="none" w:sz="0" w:space="0" w:color="auto"/>
          </w:divBdr>
          <w:divsChild>
            <w:div w:id="945573784">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734275498">
      <w:bodyDiv w:val="1"/>
      <w:marLeft w:val="0"/>
      <w:marRight w:val="0"/>
      <w:marTop w:val="0"/>
      <w:marBottom w:val="0"/>
      <w:divBdr>
        <w:top w:val="none" w:sz="0" w:space="0" w:color="auto"/>
        <w:left w:val="none" w:sz="0" w:space="0" w:color="auto"/>
        <w:bottom w:val="none" w:sz="0" w:space="0" w:color="auto"/>
        <w:right w:val="none" w:sz="0" w:space="0" w:color="auto"/>
      </w:divBdr>
    </w:div>
    <w:div w:id="796146406">
      <w:bodyDiv w:val="1"/>
      <w:marLeft w:val="0"/>
      <w:marRight w:val="0"/>
      <w:marTop w:val="0"/>
      <w:marBottom w:val="0"/>
      <w:divBdr>
        <w:top w:val="none" w:sz="0" w:space="0" w:color="auto"/>
        <w:left w:val="none" w:sz="0" w:space="0" w:color="auto"/>
        <w:bottom w:val="none" w:sz="0" w:space="0" w:color="auto"/>
        <w:right w:val="none" w:sz="0" w:space="0" w:color="auto"/>
      </w:divBdr>
    </w:div>
    <w:div w:id="896167137">
      <w:bodyDiv w:val="1"/>
      <w:marLeft w:val="0"/>
      <w:marRight w:val="0"/>
      <w:marTop w:val="0"/>
      <w:marBottom w:val="0"/>
      <w:divBdr>
        <w:top w:val="none" w:sz="0" w:space="0" w:color="auto"/>
        <w:left w:val="none" w:sz="0" w:space="0" w:color="auto"/>
        <w:bottom w:val="none" w:sz="0" w:space="0" w:color="auto"/>
        <w:right w:val="none" w:sz="0" w:space="0" w:color="auto"/>
      </w:divBdr>
    </w:div>
    <w:div w:id="1252353662">
      <w:bodyDiv w:val="1"/>
      <w:marLeft w:val="0"/>
      <w:marRight w:val="0"/>
      <w:marTop w:val="0"/>
      <w:marBottom w:val="0"/>
      <w:divBdr>
        <w:top w:val="none" w:sz="0" w:space="0" w:color="auto"/>
        <w:left w:val="none" w:sz="0" w:space="0" w:color="auto"/>
        <w:bottom w:val="none" w:sz="0" w:space="0" w:color="auto"/>
        <w:right w:val="none" w:sz="0" w:space="0" w:color="auto"/>
      </w:divBdr>
    </w:div>
    <w:div w:id="1316102149">
      <w:bodyDiv w:val="1"/>
      <w:marLeft w:val="0"/>
      <w:marRight w:val="0"/>
      <w:marTop w:val="0"/>
      <w:marBottom w:val="0"/>
      <w:divBdr>
        <w:top w:val="none" w:sz="0" w:space="0" w:color="auto"/>
        <w:left w:val="none" w:sz="0" w:space="0" w:color="auto"/>
        <w:bottom w:val="none" w:sz="0" w:space="0" w:color="auto"/>
        <w:right w:val="none" w:sz="0" w:space="0" w:color="auto"/>
      </w:divBdr>
    </w:div>
    <w:div w:id="1358039521">
      <w:bodyDiv w:val="1"/>
      <w:marLeft w:val="0"/>
      <w:marRight w:val="0"/>
      <w:marTop w:val="0"/>
      <w:marBottom w:val="0"/>
      <w:divBdr>
        <w:top w:val="none" w:sz="0" w:space="0" w:color="auto"/>
        <w:left w:val="none" w:sz="0" w:space="0" w:color="auto"/>
        <w:bottom w:val="none" w:sz="0" w:space="0" w:color="auto"/>
        <w:right w:val="none" w:sz="0" w:space="0" w:color="auto"/>
      </w:divBdr>
    </w:div>
    <w:div w:id="1537236519">
      <w:bodyDiv w:val="1"/>
      <w:marLeft w:val="0"/>
      <w:marRight w:val="0"/>
      <w:marTop w:val="0"/>
      <w:marBottom w:val="0"/>
      <w:divBdr>
        <w:top w:val="none" w:sz="0" w:space="0" w:color="auto"/>
        <w:left w:val="none" w:sz="0" w:space="0" w:color="auto"/>
        <w:bottom w:val="none" w:sz="0" w:space="0" w:color="auto"/>
        <w:right w:val="none" w:sz="0" w:space="0" w:color="auto"/>
      </w:divBdr>
    </w:div>
    <w:div w:id="1730377328">
      <w:bodyDiv w:val="1"/>
      <w:marLeft w:val="0"/>
      <w:marRight w:val="0"/>
      <w:marTop w:val="0"/>
      <w:marBottom w:val="0"/>
      <w:divBdr>
        <w:top w:val="none" w:sz="0" w:space="0" w:color="auto"/>
        <w:left w:val="none" w:sz="0" w:space="0" w:color="auto"/>
        <w:bottom w:val="none" w:sz="0" w:space="0" w:color="auto"/>
        <w:right w:val="none" w:sz="0" w:space="0" w:color="auto"/>
      </w:divBdr>
    </w:div>
    <w:div w:id="1753890439">
      <w:bodyDiv w:val="1"/>
      <w:marLeft w:val="0"/>
      <w:marRight w:val="0"/>
      <w:marTop w:val="0"/>
      <w:marBottom w:val="0"/>
      <w:divBdr>
        <w:top w:val="none" w:sz="0" w:space="0" w:color="auto"/>
        <w:left w:val="none" w:sz="0" w:space="0" w:color="auto"/>
        <w:bottom w:val="none" w:sz="0" w:space="0" w:color="auto"/>
        <w:right w:val="none" w:sz="0" w:space="0" w:color="auto"/>
      </w:divBdr>
    </w:div>
    <w:div w:id="1755280296">
      <w:bodyDiv w:val="1"/>
      <w:marLeft w:val="0"/>
      <w:marRight w:val="0"/>
      <w:marTop w:val="0"/>
      <w:marBottom w:val="0"/>
      <w:divBdr>
        <w:top w:val="none" w:sz="0" w:space="0" w:color="auto"/>
        <w:left w:val="none" w:sz="0" w:space="0" w:color="auto"/>
        <w:bottom w:val="none" w:sz="0" w:space="0" w:color="auto"/>
        <w:right w:val="none" w:sz="0" w:space="0" w:color="auto"/>
      </w:divBdr>
    </w:div>
    <w:div w:id="1816333424">
      <w:bodyDiv w:val="1"/>
      <w:marLeft w:val="0"/>
      <w:marRight w:val="0"/>
      <w:marTop w:val="0"/>
      <w:marBottom w:val="0"/>
      <w:divBdr>
        <w:top w:val="none" w:sz="0" w:space="0" w:color="auto"/>
        <w:left w:val="none" w:sz="0" w:space="0" w:color="auto"/>
        <w:bottom w:val="none" w:sz="0" w:space="0" w:color="auto"/>
        <w:right w:val="none" w:sz="0" w:space="0" w:color="auto"/>
      </w:divBdr>
    </w:div>
    <w:div w:id="1884171376">
      <w:bodyDiv w:val="1"/>
      <w:marLeft w:val="0"/>
      <w:marRight w:val="0"/>
      <w:marTop w:val="0"/>
      <w:marBottom w:val="0"/>
      <w:divBdr>
        <w:top w:val="none" w:sz="0" w:space="0" w:color="auto"/>
        <w:left w:val="none" w:sz="0" w:space="0" w:color="auto"/>
        <w:bottom w:val="none" w:sz="0" w:space="0" w:color="auto"/>
        <w:right w:val="none" w:sz="0" w:space="0" w:color="auto"/>
      </w:divBdr>
    </w:div>
    <w:div w:id="1915046775">
      <w:bodyDiv w:val="1"/>
      <w:marLeft w:val="0"/>
      <w:marRight w:val="0"/>
      <w:marTop w:val="0"/>
      <w:marBottom w:val="0"/>
      <w:divBdr>
        <w:top w:val="none" w:sz="0" w:space="0" w:color="auto"/>
        <w:left w:val="none" w:sz="0" w:space="0" w:color="auto"/>
        <w:bottom w:val="none" w:sz="0" w:space="0" w:color="auto"/>
        <w:right w:val="none" w:sz="0" w:space="0" w:color="auto"/>
      </w:divBdr>
    </w:div>
    <w:div w:id="1926572527">
      <w:marLeft w:val="0"/>
      <w:marRight w:val="0"/>
      <w:marTop w:val="0"/>
      <w:marBottom w:val="0"/>
      <w:divBdr>
        <w:top w:val="none" w:sz="0" w:space="0" w:color="auto"/>
        <w:left w:val="none" w:sz="0" w:space="0" w:color="auto"/>
        <w:bottom w:val="none" w:sz="0" w:space="0" w:color="auto"/>
        <w:right w:val="none" w:sz="0" w:space="0" w:color="auto"/>
      </w:divBdr>
    </w:div>
    <w:div w:id="1926572528">
      <w:marLeft w:val="0"/>
      <w:marRight w:val="0"/>
      <w:marTop w:val="0"/>
      <w:marBottom w:val="0"/>
      <w:divBdr>
        <w:top w:val="none" w:sz="0" w:space="0" w:color="auto"/>
        <w:left w:val="none" w:sz="0" w:space="0" w:color="auto"/>
        <w:bottom w:val="none" w:sz="0" w:space="0" w:color="auto"/>
        <w:right w:val="none" w:sz="0" w:space="0" w:color="auto"/>
      </w:divBdr>
    </w:div>
    <w:div w:id="1926572529">
      <w:marLeft w:val="0"/>
      <w:marRight w:val="0"/>
      <w:marTop w:val="0"/>
      <w:marBottom w:val="0"/>
      <w:divBdr>
        <w:top w:val="none" w:sz="0" w:space="0" w:color="auto"/>
        <w:left w:val="none" w:sz="0" w:space="0" w:color="auto"/>
        <w:bottom w:val="none" w:sz="0" w:space="0" w:color="auto"/>
        <w:right w:val="none" w:sz="0" w:space="0" w:color="auto"/>
      </w:divBdr>
    </w:div>
    <w:div w:id="1926572530">
      <w:marLeft w:val="0"/>
      <w:marRight w:val="0"/>
      <w:marTop w:val="0"/>
      <w:marBottom w:val="0"/>
      <w:divBdr>
        <w:top w:val="none" w:sz="0" w:space="0" w:color="auto"/>
        <w:left w:val="none" w:sz="0" w:space="0" w:color="auto"/>
        <w:bottom w:val="none" w:sz="0" w:space="0" w:color="auto"/>
        <w:right w:val="none" w:sz="0" w:space="0" w:color="auto"/>
      </w:divBdr>
    </w:div>
    <w:div w:id="1926572531">
      <w:marLeft w:val="0"/>
      <w:marRight w:val="0"/>
      <w:marTop w:val="0"/>
      <w:marBottom w:val="0"/>
      <w:divBdr>
        <w:top w:val="none" w:sz="0" w:space="0" w:color="auto"/>
        <w:left w:val="none" w:sz="0" w:space="0" w:color="auto"/>
        <w:bottom w:val="none" w:sz="0" w:space="0" w:color="auto"/>
        <w:right w:val="none" w:sz="0" w:space="0" w:color="auto"/>
      </w:divBdr>
    </w:div>
    <w:div w:id="1926572532">
      <w:marLeft w:val="0"/>
      <w:marRight w:val="0"/>
      <w:marTop w:val="0"/>
      <w:marBottom w:val="0"/>
      <w:divBdr>
        <w:top w:val="none" w:sz="0" w:space="0" w:color="auto"/>
        <w:left w:val="none" w:sz="0" w:space="0" w:color="auto"/>
        <w:bottom w:val="none" w:sz="0" w:space="0" w:color="auto"/>
        <w:right w:val="none" w:sz="0" w:space="0" w:color="auto"/>
      </w:divBdr>
    </w:div>
    <w:div w:id="1926572533">
      <w:marLeft w:val="0"/>
      <w:marRight w:val="0"/>
      <w:marTop w:val="0"/>
      <w:marBottom w:val="0"/>
      <w:divBdr>
        <w:top w:val="none" w:sz="0" w:space="0" w:color="auto"/>
        <w:left w:val="none" w:sz="0" w:space="0" w:color="auto"/>
        <w:bottom w:val="none" w:sz="0" w:space="0" w:color="auto"/>
        <w:right w:val="none" w:sz="0" w:space="0" w:color="auto"/>
      </w:divBdr>
    </w:div>
    <w:div w:id="1926572534">
      <w:marLeft w:val="0"/>
      <w:marRight w:val="0"/>
      <w:marTop w:val="0"/>
      <w:marBottom w:val="0"/>
      <w:divBdr>
        <w:top w:val="none" w:sz="0" w:space="0" w:color="auto"/>
        <w:left w:val="none" w:sz="0" w:space="0" w:color="auto"/>
        <w:bottom w:val="none" w:sz="0" w:space="0" w:color="auto"/>
        <w:right w:val="none" w:sz="0" w:space="0" w:color="auto"/>
      </w:divBdr>
    </w:div>
    <w:div w:id="1926572535">
      <w:marLeft w:val="0"/>
      <w:marRight w:val="0"/>
      <w:marTop w:val="0"/>
      <w:marBottom w:val="0"/>
      <w:divBdr>
        <w:top w:val="none" w:sz="0" w:space="0" w:color="auto"/>
        <w:left w:val="none" w:sz="0" w:space="0" w:color="auto"/>
        <w:bottom w:val="none" w:sz="0" w:space="0" w:color="auto"/>
        <w:right w:val="none" w:sz="0" w:space="0" w:color="auto"/>
      </w:divBdr>
    </w:div>
    <w:div w:id="1926572536">
      <w:marLeft w:val="0"/>
      <w:marRight w:val="0"/>
      <w:marTop w:val="0"/>
      <w:marBottom w:val="0"/>
      <w:divBdr>
        <w:top w:val="none" w:sz="0" w:space="0" w:color="auto"/>
        <w:left w:val="none" w:sz="0" w:space="0" w:color="auto"/>
        <w:bottom w:val="none" w:sz="0" w:space="0" w:color="auto"/>
        <w:right w:val="none" w:sz="0" w:space="0" w:color="auto"/>
      </w:divBdr>
    </w:div>
    <w:div w:id="1926572537">
      <w:marLeft w:val="0"/>
      <w:marRight w:val="0"/>
      <w:marTop w:val="0"/>
      <w:marBottom w:val="0"/>
      <w:divBdr>
        <w:top w:val="none" w:sz="0" w:space="0" w:color="auto"/>
        <w:left w:val="none" w:sz="0" w:space="0" w:color="auto"/>
        <w:bottom w:val="none" w:sz="0" w:space="0" w:color="auto"/>
        <w:right w:val="none" w:sz="0" w:space="0" w:color="auto"/>
      </w:divBdr>
    </w:div>
    <w:div w:id="1926572538">
      <w:marLeft w:val="0"/>
      <w:marRight w:val="0"/>
      <w:marTop w:val="0"/>
      <w:marBottom w:val="0"/>
      <w:divBdr>
        <w:top w:val="none" w:sz="0" w:space="0" w:color="auto"/>
        <w:left w:val="none" w:sz="0" w:space="0" w:color="auto"/>
        <w:bottom w:val="none" w:sz="0" w:space="0" w:color="auto"/>
        <w:right w:val="none" w:sz="0" w:space="0" w:color="auto"/>
      </w:divBdr>
    </w:div>
    <w:div w:id="1926572539">
      <w:marLeft w:val="0"/>
      <w:marRight w:val="0"/>
      <w:marTop w:val="0"/>
      <w:marBottom w:val="0"/>
      <w:divBdr>
        <w:top w:val="none" w:sz="0" w:space="0" w:color="auto"/>
        <w:left w:val="none" w:sz="0" w:space="0" w:color="auto"/>
        <w:bottom w:val="none" w:sz="0" w:space="0" w:color="auto"/>
        <w:right w:val="none" w:sz="0" w:space="0" w:color="auto"/>
      </w:divBdr>
    </w:div>
    <w:div w:id="214245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by/main.aspx?guid=3871&amp;p0=C21400282&amp;p1=1&amp;p5=0"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header" Target="head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1050;&#1051;&#1048;&#1045;&#1053;&#1058;&#1067;%20&#1080;%20&#1055;&#1040;&#1056;&#1058;&#1053;&#1045;&#1056;&#1067;\&#1040;&#1073;&#1086;&#1085;&#1077;&#1085;&#1090;&#1089;&#1082;&#1086;&#1077;%20&#1086;&#1073;&#1089;&#1083;&#1091;&#1078;&#1080;&#1074;&#1072;&#1085;&#1080;&#1077;\Microsoft\2014\&#1052;&#1072;&#1081;\&#1052;&#1072;&#1082;&#1088;&#1086;&#1080;&#1085;&#1076;&#1080;&#1082;&#1072;&#1090;&#1086;&#1088;&#1099;%20&#1076;&#1083;&#1103;%20Microsoft%20&#1084;&#1072;&#1088;&#1090;%202014.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Темп роста ВВП 2013-2014 гг.</a:t>
            </a:r>
            <a:r>
              <a:rPr lang="ru-RU" sz="1200" baseline="0"/>
              <a:t> </a:t>
            </a:r>
            <a:r>
              <a:rPr lang="ru-RU" sz="1200"/>
              <a:t> в сопоставимых ценах к соответствующему периоду предыдущего года, в %</a:t>
            </a:r>
          </a:p>
        </c:rich>
      </c:tx>
      <c:layout>
        <c:manualLayout>
          <c:xMode val="edge"/>
          <c:yMode val="edge"/>
          <c:x val="0.14614463504542427"/>
          <c:y val="1.2182318673580447E-3"/>
        </c:manualLayout>
      </c:layout>
    </c:title>
    <c:plotArea>
      <c:layout>
        <c:manualLayout>
          <c:layoutTarget val="inner"/>
          <c:xMode val="edge"/>
          <c:yMode val="edge"/>
          <c:x val="4.9920916186622429E-2"/>
          <c:y val="0.14015392856708048"/>
          <c:w val="0.91068019039992898"/>
          <c:h val="0.63656002997677341"/>
        </c:manualLayout>
      </c:layout>
      <c:barChart>
        <c:barDir val="col"/>
        <c:grouping val="clustered"/>
        <c:ser>
          <c:idx val="0"/>
          <c:order val="0"/>
          <c:tx>
            <c:strRef>
              <c:f>'рост ВВП'!$A$4</c:f>
              <c:strCache>
                <c:ptCount val="1"/>
                <c:pt idx="0">
                  <c:v>2013</c:v>
                </c:pt>
              </c:strCache>
            </c:strRef>
          </c:tx>
          <c:dLbls>
            <c:txPr>
              <a:bodyPr/>
              <a:lstStyle/>
              <a:p>
                <a:pPr>
                  <a:defRPr sz="1100">
                    <a:latin typeface="+mj-lt"/>
                  </a:defRPr>
                </a:pPr>
                <a:endParaRPr lang="ru-RU"/>
              </a:p>
            </c:txPr>
            <c:showVal val="1"/>
          </c:dLbls>
          <c:cat>
            <c:strRef>
              <c:f>'рост ВВП'!$B$2:$M$2</c:f>
              <c:strCache>
                <c:ptCount val="12"/>
                <c:pt idx="0">
                  <c:v>Январь </c:v>
                </c:pt>
                <c:pt idx="1">
                  <c:v>Январь-февраль </c:v>
                </c:pt>
                <c:pt idx="2">
                  <c:v>Январь-март </c:v>
                </c:pt>
                <c:pt idx="3">
                  <c:v>Январь-апрель</c:v>
                </c:pt>
                <c:pt idx="4">
                  <c:v>Январь-май </c:v>
                </c:pt>
                <c:pt idx="5">
                  <c:v>Январь-июнь</c:v>
                </c:pt>
                <c:pt idx="6">
                  <c:v>Январь-июль </c:v>
                </c:pt>
                <c:pt idx="7">
                  <c:v>Январь-август </c:v>
                </c:pt>
                <c:pt idx="8">
                  <c:v>Январь-сентябрь </c:v>
                </c:pt>
                <c:pt idx="9">
                  <c:v>Январь-октябрь </c:v>
                </c:pt>
                <c:pt idx="10">
                  <c:v>Январь-ноябрь </c:v>
                </c:pt>
                <c:pt idx="11">
                  <c:v>Январь-декабрь </c:v>
                </c:pt>
              </c:strCache>
            </c:strRef>
          </c:cat>
          <c:val>
            <c:numRef>
              <c:f>'рост ВВП'!$B$4:$M$4</c:f>
              <c:numCache>
                <c:formatCode>#,##0.0</c:formatCode>
                <c:ptCount val="12"/>
                <c:pt idx="0">
                  <c:v>103.5</c:v>
                </c:pt>
                <c:pt idx="1">
                  <c:v>104.8</c:v>
                </c:pt>
                <c:pt idx="2">
                  <c:v>104</c:v>
                </c:pt>
                <c:pt idx="3">
                  <c:v>104</c:v>
                </c:pt>
                <c:pt idx="4">
                  <c:v>103.1</c:v>
                </c:pt>
                <c:pt idx="5">
                  <c:v>101.6</c:v>
                </c:pt>
                <c:pt idx="6">
                  <c:v>101.5</c:v>
                </c:pt>
                <c:pt idx="7">
                  <c:v>101.5</c:v>
                </c:pt>
                <c:pt idx="8">
                  <c:v>101.2</c:v>
                </c:pt>
                <c:pt idx="9">
                  <c:v>101.2</c:v>
                </c:pt>
                <c:pt idx="10">
                  <c:v>101.2</c:v>
                </c:pt>
                <c:pt idx="11">
                  <c:v>100.9</c:v>
                </c:pt>
              </c:numCache>
            </c:numRef>
          </c:val>
        </c:ser>
        <c:ser>
          <c:idx val="1"/>
          <c:order val="1"/>
          <c:tx>
            <c:strRef>
              <c:f>'рост ВВП'!$A$5</c:f>
              <c:strCache>
                <c:ptCount val="1"/>
                <c:pt idx="0">
                  <c:v>2014</c:v>
                </c:pt>
              </c:strCache>
            </c:strRef>
          </c:tx>
          <c:dLbls>
            <c:txPr>
              <a:bodyPr/>
              <a:lstStyle/>
              <a:p>
                <a:pPr>
                  <a:defRPr sz="1100" b="1" i="1">
                    <a:latin typeface="+mj-lt"/>
                  </a:defRPr>
                </a:pPr>
                <a:endParaRPr lang="ru-RU"/>
              </a:p>
            </c:txPr>
            <c:dLblPos val="outEnd"/>
            <c:showVal val="1"/>
          </c:dLbls>
          <c:cat>
            <c:strRef>
              <c:f>'рост ВВП'!$B$2:$M$2</c:f>
              <c:strCache>
                <c:ptCount val="12"/>
                <c:pt idx="0">
                  <c:v>Январь </c:v>
                </c:pt>
                <c:pt idx="1">
                  <c:v>Январь-февраль </c:v>
                </c:pt>
                <c:pt idx="2">
                  <c:v>Январь-март </c:v>
                </c:pt>
                <c:pt idx="3">
                  <c:v>Январь-апрель</c:v>
                </c:pt>
                <c:pt idx="4">
                  <c:v>Январь-май </c:v>
                </c:pt>
                <c:pt idx="5">
                  <c:v>Январь-июнь</c:v>
                </c:pt>
                <c:pt idx="6">
                  <c:v>Январь-июль </c:v>
                </c:pt>
                <c:pt idx="7">
                  <c:v>Январь-август </c:v>
                </c:pt>
                <c:pt idx="8">
                  <c:v>Январь-сентябрь </c:v>
                </c:pt>
                <c:pt idx="9">
                  <c:v>Январь-октябрь </c:v>
                </c:pt>
                <c:pt idx="10">
                  <c:v>Январь-ноябрь </c:v>
                </c:pt>
                <c:pt idx="11">
                  <c:v>Январь-декабрь </c:v>
                </c:pt>
              </c:strCache>
            </c:strRef>
          </c:cat>
          <c:val>
            <c:numRef>
              <c:f>'рост ВВП'!$B$5:$M$5</c:f>
              <c:numCache>
                <c:formatCode>General</c:formatCode>
                <c:ptCount val="12"/>
                <c:pt idx="0">
                  <c:v>98.9</c:v>
                </c:pt>
                <c:pt idx="1">
                  <c:v>98.4</c:v>
                </c:pt>
                <c:pt idx="2">
                  <c:v>100.5</c:v>
                </c:pt>
              </c:numCache>
            </c:numRef>
          </c:val>
        </c:ser>
        <c:axId val="88614016"/>
        <c:axId val="88616320"/>
      </c:barChart>
      <c:catAx>
        <c:axId val="88614016"/>
        <c:scaling>
          <c:orientation val="minMax"/>
        </c:scaling>
        <c:axPos val="b"/>
        <c:majorGridlines/>
        <c:tickLblPos val="low"/>
        <c:txPr>
          <a:bodyPr/>
          <a:lstStyle/>
          <a:p>
            <a:pPr>
              <a:defRPr sz="900">
                <a:latin typeface="+mj-lt"/>
              </a:defRPr>
            </a:pPr>
            <a:endParaRPr lang="ru-RU"/>
          </a:p>
        </c:txPr>
        <c:crossAx val="88616320"/>
        <c:crossesAt val="100"/>
        <c:auto val="1"/>
        <c:lblAlgn val="ctr"/>
        <c:lblOffset val="100"/>
      </c:catAx>
      <c:valAx>
        <c:axId val="88616320"/>
        <c:scaling>
          <c:orientation val="minMax"/>
          <c:max val="105"/>
        </c:scaling>
        <c:axPos val="l"/>
        <c:majorGridlines/>
        <c:numFmt formatCode="#,##0" sourceLinked="0"/>
        <c:tickLblPos val="nextTo"/>
        <c:txPr>
          <a:bodyPr/>
          <a:lstStyle/>
          <a:p>
            <a:pPr>
              <a:defRPr sz="1000">
                <a:latin typeface="+mj-lt"/>
              </a:defRPr>
            </a:pPr>
            <a:endParaRPr lang="ru-RU"/>
          </a:p>
        </c:txPr>
        <c:crossAx val="88614016"/>
        <c:crosses val="autoZero"/>
        <c:crossBetween val="between"/>
        <c:majorUnit val="1"/>
        <c:minorUnit val="0.5"/>
      </c:valAx>
      <c:spPr>
        <a:solidFill>
          <a:schemeClr val="bg1">
            <a:lumMod val="95000"/>
          </a:schemeClr>
        </a:solidFill>
      </c:spPr>
    </c:plotArea>
    <c:legend>
      <c:legendPos val="r"/>
      <c:legendEntry>
        <c:idx val="1"/>
        <c:txPr>
          <a:bodyPr/>
          <a:lstStyle/>
          <a:p>
            <a:pPr>
              <a:defRPr sz="1050" b="1" i="1">
                <a:latin typeface="+mj-lt"/>
              </a:defRPr>
            </a:pPr>
            <a:endParaRPr lang="ru-RU"/>
          </a:p>
        </c:txPr>
      </c:legendEntry>
      <c:layout>
        <c:manualLayout>
          <c:xMode val="edge"/>
          <c:yMode val="edge"/>
          <c:x val="5.1281697365690881E-2"/>
          <c:y val="0.89852554253889394"/>
          <c:w val="0.42037990994363089"/>
          <c:h val="7.3507777991165882E-2"/>
        </c:manualLayout>
      </c:layout>
      <c:txPr>
        <a:bodyPr/>
        <a:lstStyle/>
        <a:p>
          <a:pPr>
            <a:defRPr sz="1050">
              <a:latin typeface="+mj-lt"/>
            </a:defRPr>
          </a:pPr>
          <a:endParaRPr lang="ru-RU"/>
        </a:p>
      </c:txPr>
    </c:legend>
    <c:plotVisOnly val="1"/>
    <c:dispBlanksAs val="gap"/>
  </c:chart>
  <c:spPr>
    <a:ln>
      <a:noFill/>
    </a:ln>
    <a:effectLst/>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Динамика внешней торговли товарами Беларуси,</a:t>
            </a:r>
            <a:r>
              <a:rPr lang="ru-RU" sz="1200" baseline="0"/>
              <a:t> январь</a:t>
            </a:r>
            <a:r>
              <a:rPr lang="ru-RU" sz="1200"/>
              <a:t> 2013-март 2014 г.г., </a:t>
            </a:r>
            <a:r>
              <a:rPr lang="en-US" sz="1200"/>
              <a:t>USD</a:t>
            </a:r>
            <a:r>
              <a:rPr lang="ru-RU" sz="1200"/>
              <a:t> млн</a:t>
            </a:r>
            <a:endParaRPr lang="en-US" sz="1200"/>
          </a:p>
        </c:rich>
      </c:tx>
      <c:layout>
        <c:manualLayout>
          <c:xMode val="edge"/>
          <c:yMode val="edge"/>
          <c:x val="0.20273930617368274"/>
          <c:y val="2.0168606126565448E-2"/>
        </c:manualLayout>
      </c:layout>
    </c:title>
    <c:plotArea>
      <c:layout>
        <c:manualLayout>
          <c:layoutTarget val="inner"/>
          <c:xMode val="edge"/>
          <c:yMode val="edge"/>
          <c:x val="4.9191206895482023E-2"/>
          <c:y val="0.1001809252371061"/>
          <c:w val="0.90734977989820509"/>
          <c:h val="0.77194880556528633"/>
        </c:manualLayout>
      </c:layout>
      <c:barChart>
        <c:barDir val="col"/>
        <c:grouping val="clustered"/>
        <c:ser>
          <c:idx val="2"/>
          <c:order val="2"/>
          <c:tx>
            <c:strRef>
              <c:f>'внешняя торговля'!$C$6</c:f>
              <c:strCache>
                <c:ptCount val="1"/>
                <c:pt idx="0">
                  <c:v>Сальдо, млн. USD</c:v>
                </c:pt>
              </c:strCache>
            </c:strRef>
          </c:tx>
          <c:dLbls>
            <c:dLbl>
              <c:idx val="12"/>
              <c:numFmt formatCode="#,##0.0" sourceLinked="0"/>
              <c:spPr/>
              <c:txPr>
                <a:bodyPr/>
                <a:lstStyle/>
                <a:p>
                  <a:pPr>
                    <a:defRPr sz="1000"/>
                  </a:pPr>
                  <a:endParaRPr lang="ru-RU"/>
                </a:p>
              </c:txPr>
            </c:dLbl>
            <c:txPr>
              <a:bodyPr/>
              <a:lstStyle/>
              <a:p>
                <a:pPr>
                  <a:defRPr sz="1000"/>
                </a:pPr>
                <a:endParaRPr lang="ru-RU"/>
              </a:p>
            </c:txPr>
            <c:dLblPos val="outEnd"/>
            <c:showVal val="1"/>
          </c:dLbls>
          <c:cat>
            <c:numRef>
              <c:f>'внешняя торговля'!$D$3:$R$3</c:f>
              <c:numCache>
                <c:formatCode>mmm/yy</c:formatCode>
                <c:ptCount val="15"/>
                <c:pt idx="0">
                  <c:v>41275</c:v>
                </c:pt>
                <c:pt idx="1">
                  <c:v>41306</c:v>
                </c:pt>
                <c:pt idx="2">
                  <c:v>41334</c:v>
                </c:pt>
                <c:pt idx="3">
                  <c:v>41365</c:v>
                </c:pt>
                <c:pt idx="4">
                  <c:v>41395</c:v>
                </c:pt>
                <c:pt idx="5">
                  <c:v>41426</c:v>
                </c:pt>
                <c:pt idx="6">
                  <c:v>41456</c:v>
                </c:pt>
                <c:pt idx="7">
                  <c:v>41487</c:v>
                </c:pt>
                <c:pt idx="8">
                  <c:v>41518</c:v>
                </c:pt>
                <c:pt idx="9">
                  <c:v>41548</c:v>
                </c:pt>
                <c:pt idx="10">
                  <c:v>41579</c:v>
                </c:pt>
                <c:pt idx="11">
                  <c:v>41609</c:v>
                </c:pt>
                <c:pt idx="12">
                  <c:v>41640</c:v>
                </c:pt>
                <c:pt idx="13">
                  <c:v>41671</c:v>
                </c:pt>
                <c:pt idx="14">
                  <c:v>41699</c:v>
                </c:pt>
              </c:numCache>
            </c:numRef>
          </c:cat>
          <c:val>
            <c:numRef>
              <c:f>'внешняя торговля'!$D$6:$R$6</c:f>
              <c:numCache>
                <c:formatCode>#,##0.0</c:formatCode>
                <c:ptCount val="15"/>
                <c:pt idx="0">
                  <c:v>-174.09999999999991</c:v>
                </c:pt>
                <c:pt idx="1">
                  <c:v>-252.40000000000009</c:v>
                </c:pt>
                <c:pt idx="2">
                  <c:v>-268.30000000000018</c:v>
                </c:pt>
                <c:pt idx="3">
                  <c:v>-486.20000000000027</c:v>
                </c:pt>
                <c:pt idx="4">
                  <c:v>-357.09999999999951</c:v>
                </c:pt>
                <c:pt idx="5">
                  <c:v>-277.70000000000027</c:v>
                </c:pt>
                <c:pt idx="6">
                  <c:v>-486</c:v>
                </c:pt>
                <c:pt idx="7">
                  <c:v>-618.40000000000009</c:v>
                </c:pt>
                <c:pt idx="8">
                  <c:v>-519.5</c:v>
                </c:pt>
                <c:pt idx="9">
                  <c:v>-744.59999999999991</c:v>
                </c:pt>
                <c:pt idx="10">
                  <c:v>-677.2000000000005</c:v>
                </c:pt>
                <c:pt idx="11">
                  <c:v>-904.79999999999973</c:v>
                </c:pt>
                <c:pt idx="12">
                  <c:v>-33.099999999999966</c:v>
                </c:pt>
                <c:pt idx="13">
                  <c:v>-140.69999999999982</c:v>
                </c:pt>
                <c:pt idx="14">
                  <c:v>44.5</c:v>
                </c:pt>
              </c:numCache>
            </c:numRef>
          </c:val>
        </c:ser>
        <c:axId val="88701184"/>
        <c:axId val="88719360"/>
      </c:barChart>
      <c:lineChart>
        <c:grouping val="standard"/>
        <c:ser>
          <c:idx val="0"/>
          <c:order val="0"/>
          <c:tx>
            <c:strRef>
              <c:f>'внешняя торговля'!$C$4</c:f>
              <c:strCache>
                <c:ptCount val="1"/>
                <c:pt idx="0">
                  <c:v>Экспорт товаров, млн. USD</c:v>
                </c:pt>
              </c:strCache>
            </c:strRef>
          </c:tx>
          <c:dLbls>
            <c:dLbl>
              <c:idx val="14"/>
              <c:layout>
                <c:manualLayout>
                  <c:x val="1.3845622831715535E-3"/>
                  <c:y val="-5.466080174914581E-2"/>
                </c:manualLayout>
              </c:layout>
              <c:dLblPos val="b"/>
              <c:showVal val="1"/>
            </c:dLbl>
            <c:txPr>
              <a:bodyPr/>
              <a:lstStyle/>
              <a:p>
                <a:pPr>
                  <a:defRPr sz="1000">
                    <a:latin typeface="+mj-lt"/>
                  </a:defRPr>
                </a:pPr>
                <a:endParaRPr lang="ru-RU"/>
              </a:p>
            </c:txPr>
            <c:dLblPos val="b"/>
            <c:showVal val="1"/>
          </c:dLbls>
          <c:cat>
            <c:numRef>
              <c:f>'внешняя торговля'!$D$3:$R$3</c:f>
              <c:numCache>
                <c:formatCode>mmm/yy</c:formatCode>
                <c:ptCount val="15"/>
                <c:pt idx="0">
                  <c:v>41275</c:v>
                </c:pt>
                <c:pt idx="1">
                  <c:v>41306</c:v>
                </c:pt>
                <c:pt idx="2">
                  <c:v>41334</c:v>
                </c:pt>
                <c:pt idx="3">
                  <c:v>41365</c:v>
                </c:pt>
                <c:pt idx="4">
                  <c:v>41395</c:v>
                </c:pt>
                <c:pt idx="5">
                  <c:v>41426</c:v>
                </c:pt>
                <c:pt idx="6">
                  <c:v>41456</c:v>
                </c:pt>
                <c:pt idx="7">
                  <c:v>41487</c:v>
                </c:pt>
                <c:pt idx="8">
                  <c:v>41518</c:v>
                </c:pt>
                <c:pt idx="9">
                  <c:v>41548</c:v>
                </c:pt>
                <c:pt idx="10">
                  <c:v>41579</c:v>
                </c:pt>
                <c:pt idx="11">
                  <c:v>41609</c:v>
                </c:pt>
                <c:pt idx="12">
                  <c:v>41640</c:v>
                </c:pt>
                <c:pt idx="13">
                  <c:v>41671</c:v>
                </c:pt>
                <c:pt idx="14">
                  <c:v>41699</c:v>
                </c:pt>
              </c:numCache>
            </c:numRef>
          </c:cat>
          <c:val>
            <c:numRef>
              <c:f>'внешняя торговля'!$D$4:$R$4</c:f>
              <c:numCache>
                <c:formatCode>#,##0.0</c:formatCode>
                <c:ptCount val="15"/>
                <c:pt idx="0">
                  <c:v>2993.9</c:v>
                </c:pt>
                <c:pt idx="1">
                  <c:v>3183</c:v>
                </c:pt>
                <c:pt idx="2">
                  <c:v>3335</c:v>
                </c:pt>
                <c:pt idx="3">
                  <c:v>3184.2</c:v>
                </c:pt>
                <c:pt idx="4">
                  <c:v>3193.5</c:v>
                </c:pt>
                <c:pt idx="5">
                  <c:v>3216.7</c:v>
                </c:pt>
                <c:pt idx="6">
                  <c:v>3322.8</c:v>
                </c:pt>
                <c:pt idx="7">
                  <c:v>3148.5</c:v>
                </c:pt>
                <c:pt idx="8">
                  <c:v>2902.6</c:v>
                </c:pt>
                <c:pt idx="9">
                  <c:v>2812.5</c:v>
                </c:pt>
                <c:pt idx="10">
                  <c:v>2768.7</c:v>
                </c:pt>
                <c:pt idx="11">
                  <c:v>3170.9</c:v>
                </c:pt>
                <c:pt idx="12">
                  <c:v>2762.5</c:v>
                </c:pt>
                <c:pt idx="13">
                  <c:v>2932.5</c:v>
                </c:pt>
                <c:pt idx="14">
                  <c:v>3428.5</c:v>
                </c:pt>
              </c:numCache>
            </c:numRef>
          </c:val>
        </c:ser>
        <c:ser>
          <c:idx val="1"/>
          <c:order val="1"/>
          <c:tx>
            <c:strRef>
              <c:f>'внешняя торговля'!$C$5</c:f>
              <c:strCache>
                <c:ptCount val="1"/>
                <c:pt idx="0">
                  <c:v>Импорт товаров, млн. USD</c:v>
                </c:pt>
              </c:strCache>
            </c:strRef>
          </c:tx>
          <c:dLbls>
            <c:dLbl>
              <c:idx val="14"/>
              <c:layout>
                <c:manualLayout>
                  <c:x val="5.5382491326862234E-3"/>
                  <c:y val="4.6852115784981975E-2"/>
                </c:manualLayout>
              </c:layout>
              <c:dLblPos val="t"/>
              <c:showVal val="1"/>
            </c:dLbl>
            <c:txPr>
              <a:bodyPr/>
              <a:lstStyle/>
              <a:p>
                <a:pPr>
                  <a:defRPr sz="1000" b="1" i="1">
                    <a:latin typeface="+mj-lt"/>
                  </a:defRPr>
                </a:pPr>
                <a:endParaRPr lang="ru-RU"/>
              </a:p>
            </c:txPr>
            <c:dLblPos val="t"/>
            <c:showVal val="1"/>
          </c:dLbls>
          <c:cat>
            <c:numRef>
              <c:f>'внешняя торговля'!$D$3:$R$3</c:f>
              <c:numCache>
                <c:formatCode>mmm/yy</c:formatCode>
                <c:ptCount val="15"/>
                <c:pt idx="0">
                  <c:v>41275</c:v>
                </c:pt>
                <c:pt idx="1">
                  <c:v>41306</c:v>
                </c:pt>
                <c:pt idx="2">
                  <c:v>41334</c:v>
                </c:pt>
                <c:pt idx="3">
                  <c:v>41365</c:v>
                </c:pt>
                <c:pt idx="4">
                  <c:v>41395</c:v>
                </c:pt>
                <c:pt idx="5">
                  <c:v>41426</c:v>
                </c:pt>
                <c:pt idx="6">
                  <c:v>41456</c:v>
                </c:pt>
                <c:pt idx="7">
                  <c:v>41487</c:v>
                </c:pt>
                <c:pt idx="8">
                  <c:v>41518</c:v>
                </c:pt>
                <c:pt idx="9">
                  <c:v>41548</c:v>
                </c:pt>
                <c:pt idx="10">
                  <c:v>41579</c:v>
                </c:pt>
                <c:pt idx="11">
                  <c:v>41609</c:v>
                </c:pt>
                <c:pt idx="12">
                  <c:v>41640</c:v>
                </c:pt>
                <c:pt idx="13">
                  <c:v>41671</c:v>
                </c:pt>
                <c:pt idx="14">
                  <c:v>41699</c:v>
                </c:pt>
              </c:numCache>
            </c:numRef>
          </c:cat>
          <c:val>
            <c:numRef>
              <c:f>'внешняя торговля'!$D$5:$R$5</c:f>
              <c:numCache>
                <c:formatCode>#,##0.0</c:formatCode>
                <c:ptCount val="15"/>
                <c:pt idx="0">
                  <c:v>3168</c:v>
                </c:pt>
                <c:pt idx="1">
                  <c:v>3435.4</c:v>
                </c:pt>
                <c:pt idx="2">
                  <c:v>3603.3</c:v>
                </c:pt>
                <c:pt idx="3">
                  <c:v>3670.4</c:v>
                </c:pt>
                <c:pt idx="4">
                  <c:v>3550.6</c:v>
                </c:pt>
                <c:pt idx="5">
                  <c:v>3494.4</c:v>
                </c:pt>
                <c:pt idx="6">
                  <c:v>3808.8</c:v>
                </c:pt>
                <c:pt idx="7">
                  <c:v>3766.9</c:v>
                </c:pt>
                <c:pt idx="8">
                  <c:v>3422.1</c:v>
                </c:pt>
                <c:pt idx="9">
                  <c:v>3557.1</c:v>
                </c:pt>
                <c:pt idx="10">
                  <c:v>3445.9</c:v>
                </c:pt>
                <c:pt idx="11">
                  <c:v>4075.7</c:v>
                </c:pt>
                <c:pt idx="12">
                  <c:v>2795.6</c:v>
                </c:pt>
                <c:pt idx="13">
                  <c:v>3073.2</c:v>
                </c:pt>
                <c:pt idx="14">
                  <c:v>3384</c:v>
                </c:pt>
              </c:numCache>
            </c:numRef>
          </c:val>
        </c:ser>
        <c:marker val="1"/>
        <c:axId val="88701184"/>
        <c:axId val="88719360"/>
      </c:lineChart>
      <c:dateAx>
        <c:axId val="88701184"/>
        <c:scaling>
          <c:orientation val="minMax"/>
        </c:scaling>
        <c:axPos val="b"/>
        <c:majorGridlines/>
        <c:numFmt formatCode="mmm/yy" sourceLinked="1"/>
        <c:tickLblPos val="low"/>
        <c:txPr>
          <a:bodyPr/>
          <a:lstStyle/>
          <a:p>
            <a:pPr>
              <a:defRPr sz="900">
                <a:latin typeface="+mj-lt"/>
              </a:defRPr>
            </a:pPr>
            <a:endParaRPr lang="ru-RU"/>
          </a:p>
        </c:txPr>
        <c:crossAx val="88719360"/>
        <c:crosses val="autoZero"/>
        <c:auto val="1"/>
        <c:lblOffset val="100"/>
        <c:baseTimeUnit val="months"/>
      </c:dateAx>
      <c:valAx>
        <c:axId val="88719360"/>
        <c:scaling>
          <c:orientation val="minMax"/>
        </c:scaling>
        <c:axPos val="l"/>
        <c:majorGridlines/>
        <c:numFmt formatCode="#,##0" sourceLinked="0"/>
        <c:tickLblPos val="nextTo"/>
        <c:txPr>
          <a:bodyPr/>
          <a:lstStyle/>
          <a:p>
            <a:pPr>
              <a:defRPr sz="1000">
                <a:latin typeface="+mj-lt"/>
              </a:defRPr>
            </a:pPr>
            <a:endParaRPr lang="ru-RU"/>
          </a:p>
        </c:txPr>
        <c:crossAx val="88701184"/>
        <c:crosses val="autoZero"/>
        <c:crossBetween val="between"/>
        <c:minorUnit val="50"/>
      </c:valAx>
      <c:spPr>
        <a:solidFill>
          <a:schemeClr val="bg1">
            <a:lumMod val="95000"/>
          </a:schemeClr>
        </a:solidFill>
      </c:spPr>
    </c:plotArea>
    <c:legend>
      <c:legendPos val="r"/>
      <c:legendEntry>
        <c:idx val="2"/>
        <c:txPr>
          <a:bodyPr/>
          <a:lstStyle/>
          <a:p>
            <a:pPr>
              <a:defRPr sz="1000" b="1" i="1">
                <a:latin typeface="+mj-lt"/>
              </a:defRPr>
            </a:pPr>
            <a:endParaRPr lang="ru-RU"/>
          </a:p>
        </c:txPr>
      </c:legendEntry>
      <c:layout>
        <c:manualLayout>
          <c:xMode val="edge"/>
          <c:yMode val="edge"/>
          <c:x val="7.3942196042584354E-2"/>
          <c:y val="0.91306455404730846"/>
          <c:w val="0.86337074582854634"/>
          <c:h val="8.570961145194271E-2"/>
        </c:manualLayout>
      </c:layout>
      <c:txPr>
        <a:bodyPr/>
        <a:lstStyle/>
        <a:p>
          <a:pPr>
            <a:defRPr sz="1000">
              <a:latin typeface="+mj-lt"/>
            </a:defRPr>
          </a:pPr>
          <a:endParaRPr lang="ru-RU"/>
        </a:p>
      </c:txPr>
    </c:legend>
    <c:plotVisOnly val="1"/>
    <c:dispBlanksAs val="gap"/>
  </c:chart>
  <c:spPr>
    <a:ln>
      <a:noFill/>
    </a:ln>
    <a:effectLst/>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Динамика компонентов рублевой денежной массы (М2), июль</a:t>
            </a:r>
            <a:r>
              <a:rPr lang="ru-RU" sz="1200" baseline="0"/>
              <a:t> 2013-март 2014 гг.</a:t>
            </a:r>
            <a:r>
              <a:rPr lang="ru-RU" sz="1200"/>
              <a:t>, в </a:t>
            </a:r>
            <a:r>
              <a:rPr lang="en-US" sz="1200"/>
              <a:t>BYR</a:t>
            </a:r>
            <a:r>
              <a:rPr lang="ru-RU" sz="1200"/>
              <a:t> млрд</a:t>
            </a:r>
          </a:p>
        </c:rich>
      </c:tx>
      <c:layout>
        <c:manualLayout>
          <c:xMode val="edge"/>
          <c:yMode val="edge"/>
          <c:x val="0.12562436823509637"/>
          <c:y val="1.8807563840257837E-3"/>
        </c:manualLayout>
      </c:layout>
    </c:title>
    <c:plotArea>
      <c:layout>
        <c:manualLayout>
          <c:layoutTarget val="inner"/>
          <c:xMode val="edge"/>
          <c:yMode val="edge"/>
          <c:x val="4.9920916186622394E-2"/>
          <c:y val="7.5292008871918434E-2"/>
          <c:w val="0.92567343975620053"/>
          <c:h val="0.77429418166344877"/>
        </c:manualLayout>
      </c:layout>
      <c:barChart>
        <c:barDir val="col"/>
        <c:grouping val="clustered"/>
        <c:ser>
          <c:idx val="0"/>
          <c:order val="0"/>
          <c:tx>
            <c:strRef>
              <c:f>'компоненты ШДМ'!$C$12</c:f>
              <c:strCache>
                <c:ptCount val="1"/>
                <c:pt idx="0">
                  <c:v>Наличные деньги в обороте – М0</c:v>
                </c:pt>
              </c:strCache>
            </c:strRef>
          </c:tx>
          <c:dLbls>
            <c:txPr>
              <a:bodyPr/>
              <a:lstStyle/>
              <a:p>
                <a:pPr>
                  <a:defRPr sz="1000" b="1">
                    <a:latin typeface="+mj-lt"/>
                  </a:defRPr>
                </a:pPr>
                <a:endParaRPr lang="ru-RU"/>
              </a:p>
            </c:txPr>
            <c:dLblPos val="ctr"/>
            <c:showVal val="1"/>
          </c:dLbls>
          <c:cat>
            <c:numRef>
              <c:f>'компоненты ШДМ'!$J$11:$S$11</c:f>
              <c:numCache>
                <c:formatCode>dd/mm/yyyy</c:formatCode>
                <c:ptCount val="10"/>
                <c:pt idx="0">
                  <c:v>41456</c:v>
                </c:pt>
                <c:pt idx="1">
                  <c:v>41487</c:v>
                </c:pt>
                <c:pt idx="2">
                  <c:v>41518</c:v>
                </c:pt>
                <c:pt idx="3">
                  <c:v>41548</c:v>
                </c:pt>
                <c:pt idx="4">
                  <c:v>41579</c:v>
                </c:pt>
                <c:pt idx="5">
                  <c:v>41609</c:v>
                </c:pt>
                <c:pt idx="6">
                  <c:v>41640</c:v>
                </c:pt>
                <c:pt idx="7">
                  <c:v>41671</c:v>
                </c:pt>
                <c:pt idx="8">
                  <c:v>41699</c:v>
                </c:pt>
                <c:pt idx="9">
                  <c:v>41730</c:v>
                </c:pt>
              </c:numCache>
            </c:numRef>
          </c:cat>
          <c:val>
            <c:numRef>
              <c:f>'компоненты ШДМ'!$J$12:$S$12</c:f>
              <c:numCache>
                <c:formatCode>#,##0.0</c:formatCode>
                <c:ptCount val="10"/>
                <c:pt idx="0">
                  <c:v>13837.3</c:v>
                </c:pt>
                <c:pt idx="1">
                  <c:v>13294.3</c:v>
                </c:pt>
                <c:pt idx="2">
                  <c:v>13920.9</c:v>
                </c:pt>
                <c:pt idx="3">
                  <c:v>13424.1</c:v>
                </c:pt>
                <c:pt idx="4">
                  <c:v>12496.1</c:v>
                </c:pt>
                <c:pt idx="5">
                  <c:v>12691.8</c:v>
                </c:pt>
                <c:pt idx="6">
                  <c:v>12302</c:v>
                </c:pt>
                <c:pt idx="7">
                  <c:v>11704.7</c:v>
                </c:pt>
                <c:pt idx="8">
                  <c:v>12249.1</c:v>
                </c:pt>
                <c:pt idx="9">
                  <c:v>12111.5</c:v>
                </c:pt>
              </c:numCache>
            </c:numRef>
          </c:val>
        </c:ser>
        <c:axId val="88894464"/>
        <c:axId val="88904448"/>
      </c:barChart>
      <c:lineChart>
        <c:grouping val="standard"/>
        <c:ser>
          <c:idx val="1"/>
          <c:order val="1"/>
          <c:tx>
            <c:strRef>
              <c:f>'компоненты ШДМ'!$C$13</c:f>
              <c:strCache>
                <c:ptCount val="1"/>
                <c:pt idx="0">
                  <c:v>Переводные депозиты юридических лиц</c:v>
                </c:pt>
              </c:strCache>
            </c:strRef>
          </c:tx>
          <c:dLbls>
            <c:dLbl>
              <c:idx val="15"/>
              <c:layout>
                <c:manualLayout>
                  <c:x val="-2.3881106891219611E-2"/>
                  <c:y val="2.4744888370435179E-2"/>
                </c:manualLayout>
              </c:layout>
              <c:dLblPos val="r"/>
              <c:showVal val="1"/>
            </c:dLbl>
            <c:txPr>
              <a:bodyPr/>
              <a:lstStyle/>
              <a:p>
                <a:pPr>
                  <a:defRPr sz="1000" b="1" i="1">
                    <a:latin typeface="+mj-lt"/>
                  </a:defRPr>
                </a:pPr>
                <a:endParaRPr lang="ru-RU"/>
              </a:p>
            </c:txPr>
            <c:dLblPos val="b"/>
            <c:showVal val="1"/>
          </c:dLbls>
          <c:cat>
            <c:numRef>
              <c:f>'компоненты ШДМ'!$J$11:$S$11</c:f>
              <c:numCache>
                <c:formatCode>dd/mm/yyyy</c:formatCode>
                <c:ptCount val="10"/>
                <c:pt idx="0">
                  <c:v>41456</c:v>
                </c:pt>
                <c:pt idx="1">
                  <c:v>41487</c:v>
                </c:pt>
                <c:pt idx="2">
                  <c:v>41518</c:v>
                </c:pt>
                <c:pt idx="3">
                  <c:v>41548</c:v>
                </c:pt>
                <c:pt idx="4">
                  <c:v>41579</c:v>
                </c:pt>
                <c:pt idx="5">
                  <c:v>41609</c:v>
                </c:pt>
                <c:pt idx="6">
                  <c:v>41640</c:v>
                </c:pt>
                <c:pt idx="7">
                  <c:v>41671</c:v>
                </c:pt>
                <c:pt idx="8">
                  <c:v>41699</c:v>
                </c:pt>
                <c:pt idx="9">
                  <c:v>41730</c:v>
                </c:pt>
              </c:numCache>
            </c:numRef>
          </c:cat>
          <c:val>
            <c:numRef>
              <c:f>'компоненты ШДМ'!$J$13:$S$13</c:f>
              <c:numCache>
                <c:formatCode>#,##0.0</c:formatCode>
                <c:ptCount val="10"/>
                <c:pt idx="0">
                  <c:v>12490</c:v>
                </c:pt>
                <c:pt idx="1">
                  <c:v>13085.6</c:v>
                </c:pt>
                <c:pt idx="2">
                  <c:v>12287.1</c:v>
                </c:pt>
                <c:pt idx="3">
                  <c:v>13342.7</c:v>
                </c:pt>
                <c:pt idx="4">
                  <c:v>11464.3</c:v>
                </c:pt>
                <c:pt idx="5">
                  <c:v>11514.8</c:v>
                </c:pt>
                <c:pt idx="6">
                  <c:v>14640.3</c:v>
                </c:pt>
                <c:pt idx="7">
                  <c:v>10181.299999999987</c:v>
                </c:pt>
                <c:pt idx="8">
                  <c:v>10516.7</c:v>
                </c:pt>
                <c:pt idx="9">
                  <c:v>12486.5</c:v>
                </c:pt>
              </c:numCache>
            </c:numRef>
          </c:val>
        </c:ser>
        <c:ser>
          <c:idx val="2"/>
          <c:order val="2"/>
          <c:tx>
            <c:strRef>
              <c:f>'компоненты ШДМ'!$C$14</c:f>
              <c:strCache>
                <c:ptCount val="1"/>
                <c:pt idx="0">
                  <c:v>Срочные депозиты юридических лиц</c:v>
                </c:pt>
              </c:strCache>
            </c:strRef>
          </c:tx>
          <c:dLbls>
            <c:txPr>
              <a:bodyPr/>
              <a:lstStyle/>
              <a:p>
                <a:pPr>
                  <a:defRPr sz="1000" b="0">
                    <a:latin typeface="+mj-lt"/>
                  </a:defRPr>
                </a:pPr>
                <a:endParaRPr lang="ru-RU"/>
              </a:p>
            </c:txPr>
            <c:dLblPos val="t"/>
            <c:showVal val="1"/>
          </c:dLbls>
          <c:cat>
            <c:numRef>
              <c:f>'компоненты ШДМ'!$J$11:$S$11</c:f>
              <c:numCache>
                <c:formatCode>dd/mm/yyyy</c:formatCode>
                <c:ptCount val="10"/>
                <c:pt idx="0">
                  <c:v>41456</c:v>
                </c:pt>
                <c:pt idx="1">
                  <c:v>41487</c:v>
                </c:pt>
                <c:pt idx="2">
                  <c:v>41518</c:v>
                </c:pt>
                <c:pt idx="3">
                  <c:v>41548</c:v>
                </c:pt>
                <c:pt idx="4">
                  <c:v>41579</c:v>
                </c:pt>
                <c:pt idx="5">
                  <c:v>41609</c:v>
                </c:pt>
                <c:pt idx="6">
                  <c:v>41640</c:v>
                </c:pt>
                <c:pt idx="7">
                  <c:v>41671</c:v>
                </c:pt>
                <c:pt idx="8">
                  <c:v>41699</c:v>
                </c:pt>
                <c:pt idx="9">
                  <c:v>41730</c:v>
                </c:pt>
              </c:numCache>
            </c:numRef>
          </c:cat>
          <c:val>
            <c:numRef>
              <c:f>'компоненты ШДМ'!$J$14:$S$14</c:f>
              <c:numCache>
                <c:formatCode>#,##0.0</c:formatCode>
                <c:ptCount val="10"/>
                <c:pt idx="0">
                  <c:v>15842.2</c:v>
                </c:pt>
                <c:pt idx="1">
                  <c:v>15381.3</c:v>
                </c:pt>
                <c:pt idx="2">
                  <c:v>16296.3</c:v>
                </c:pt>
                <c:pt idx="3">
                  <c:v>16114.4</c:v>
                </c:pt>
                <c:pt idx="4">
                  <c:v>16570.2</c:v>
                </c:pt>
                <c:pt idx="5">
                  <c:v>17587.400000000001</c:v>
                </c:pt>
                <c:pt idx="6">
                  <c:v>17522</c:v>
                </c:pt>
                <c:pt idx="7">
                  <c:v>16776.2</c:v>
                </c:pt>
                <c:pt idx="8">
                  <c:v>16970.2</c:v>
                </c:pt>
                <c:pt idx="9">
                  <c:v>17349.099999999973</c:v>
                </c:pt>
              </c:numCache>
            </c:numRef>
          </c:val>
        </c:ser>
        <c:marker val="1"/>
        <c:axId val="88894464"/>
        <c:axId val="88904448"/>
      </c:lineChart>
      <c:dateAx>
        <c:axId val="88894464"/>
        <c:scaling>
          <c:orientation val="minMax"/>
        </c:scaling>
        <c:axPos val="b"/>
        <c:majorGridlines/>
        <c:numFmt formatCode="dd/mm/yyyy" sourceLinked="1"/>
        <c:tickLblPos val="low"/>
        <c:txPr>
          <a:bodyPr/>
          <a:lstStyle/>
          <a:p>
            <a:pPr>
              <a:defRPr sz="900">
                <a:latin typeface="+mj-lt"/>
              </a:defRPr>
            </a:pPr>
            <a:endParaRPr lang="ru-RU"/>
          </a:p>
        </c:txPr>
        <c:crossAx val="88904448"/>
        <c:crosses val="autoZero"/>
        <c:auto val="1"/>
        <c:lblOffset val="100"/>
        <c:baseTimeUnit val="months"/>
      </c:dateAx>
      <c:valAx>
        <c:axId val="88904448"/>
        <c:scaling>
          <c:orientation val="minMax"/>
        </c:scaling>
        <c:axPos val="l"/>
        <c:majorGridlines/>
        <c:numFmt formatCode="#,##0" sourceLinked="0"/>
        <c:tickLblPos val="nextTo"/>
        <c:txPr>
          <a:bodyPr/>
          <a:lstStyle/>
          <a:p>
            <a:pPr>
              <a:defRPr sz="900">
                <a:latin typeface="+mj-lt"/>
              </a:defRPr>
            </a:pPr>
            <a:endParaRPr lang="ru-RU"/>
          </a:p>
        </c:txPr>
        <c:crossAx val="88894464"/>
        <c:crosses val="autoZero"/>
        <c:crossBetween val="between"/>
        <c:minorUnit val="50"/>
      </c:valAx>
      <c:spPr>
        <a:solidFill>
          <a:schemeClr val="bg1">
            <a:lumMod val="95000"/>
          </a:schemeClr>
        </a:solidFill>
      </c:spPr>
    </c:plotArea>
    <c:legend>
      <c:legendPos val="r"/>
      <c:legendEntry>
        <c:idx val="0"/>
        <c:txPr>
          <a:bodyPr/>
          <a:lstStyle/>
          <a:p>
            <a:pPr>
              <a:defRPr sz="1000" b="1">
                <a:latin typeface="+mj-lt"/>
              </a:defRPr>
            </a:pPr>
            <a:endParaRPr lang="ru-RU"/>
          </a:p>
        </c:txPr>
      </c:legendEntry>
      <c:legendEntry>
        <c:idx val="1"/>
        <c:txPr>
          <a:bodyPr/>
          <a:lstStyle/>
          <a:p>
            <a:pPr>
              <a:defRPr sz="1000" b="1" i="1">
                <a:latin typeface="+mj-lt"/>
              </a:defRPr>
            </a:pPr>
            <a:endParaRPr lang="ru-RU"/>
          </a:p>
        </c:txPr>
      </c:legendEntry>
      <c:layout>
        <c:manualLayout>
          <c:xMode val="edge"/>
          <c:yMode val="edge"/>
          <c:x val="4.094633139871174E-2"/>
          <c:y val="0.90325900003240334"/>
          <c:w val="0.92629168320756861"/>
          <c:h val="8.5861896892518094E-2"/>
        </c:manualLayout>
      </c:layout>
      <c:txPr>
        <a:bodyPr/>
        <a:lstStyle/>
        <a:p>
          <a:pPr>
            <a:defRPr sz="1000">
              <a:latin typeface="+mj-lt"/>
            </a:defRPr>
          </a:pPr>
          <a:endParaRPr lang="ru-RU"/>
        </a:p>
      </c:txPr>
    </c:legend>
    <c:plotVisOnly val="1"/>
    <c:dispBlanksAs val="gap"/>
  </c:chart>
  <c:spPr>
    <a:ln>
      <a:noFill/>
    </a:ln>
    <a:effectLst/>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Динамика дебиторской и кредиторской задолженности </a:t>
            </a:r>
            <a:r>
              <a:rPr lang="ru-RU" sz="1200" baseline="0"/>
              <a:t>в </a:t>
            </a:r>
            <a:r>
              <a:rPr lang="ru-RU" sz="1200"/>
              <a:t>2013-2014 гг.,</a:t>
            </a:r>
          </a:p>
          <a:p>
            <a:pPr>
              <a:defRPr sz="1200">
                <a:latin typeface="+mj-lt"/>
              </a:defRPr>
            </a:pPr>
            <a:r>
              <a:rPr lang="ru-RU" sz="1200"/>
              <a:t>в </a:t>
            </a:r>
            <a:r>
              <a:rPr lang="en-US" sz="1200"/>
              <a:t>BYR</a:t>
            </a:r>
            <a:r>
              <a:rPr lang="ru-RU" sz="1200"/>
              <a:t> трлн</a:t>
            </a:r>
            <a:endParaRPr lang="en-US" sz="1200"/>
          </a:p>
        </c:rich>
      </c:tx>
      <c:layout>
        <c:manualLayout>
          <c:xMode val="edge"/>
          <c:yMode val="edge"/>
          <c:x val="0.22905243312330559"/>
          <c:y val="1.018457610244646E-2"/>
        </c:manualLayout>
      </c:layout>
    </c:title>
    <c:plotArea>
      <c:layout>
        <c:manualLayout>
          <c:layoutTarget val="inner"/>
          <c:xMode val="edge"/>
          <c:yMode val="edge"/>
          <c:x val="4.9920916186622394E-2"/>
          <c:y val="0.10965952668829262"/>
          <c:w val="0.93363502339374727"/>
          <c:h val="0.72364321030890444"/>
        </c:manualLayout>
      </c:layout>
      <c:lineChart>
        <c:grouping val="standard"/>
        <c:ser>
          <c:idx val="1"/>
          <c:order val="0"/>
          <c:tx>
            <c:strRef>
              <c:f>'дебиторка-кредиторка'!$C$8</c:f>
              <c:strCache>
                <c:ptCount val="1"/>
                <c:pt idx="0">
                  <c:v>Кредиторская задолженность, в BYR трлн</c:v>
                </c:pt>
              </c:strCache>
            </c:strRef>
          </c:tx>
          <c:dLbls>
            <c:numFmt formatCode="#,##0.0" sourceLinked="0"/>
            <c:txPr>
              <a:bodyPr/>
              <a:lstStyle/>
              <a:p>
                <a:pPr>
                  <a:defRPr sz="1000">
                    <a:latin typeface="+mj-lt"/>
                  </a:defRPr>
                </a:pPr>
                <a:endParaRPr lang="ru-RU"/>
              </a:p>
            </c:txPr>
            <c:dLblPos val="t"/>
            <c:showVal val="1"/>
          </c:dLbls>
          <c:cat>
            <c:strRef>
              <c:f>'дебиторка-кредиторка'!$D$7:$R$7</c:f>
              <c:strCache>
                <c:ptCount val="15"/>
                <c:pt idx="0">
                  <c:v>на 01.01.13</c:v>
                </c:pt>
                <c:pt idx="1">
                  <c:v>на 01.02.13</c:v>
                </c:pt>
                <c:pt idx="2">
                  <c:v>на 01.03.13</c:v>
                </c:pt>
                <c:pt idx="3">
                  <c:v>на 01.04.13</c:v>
                </c:pt>
                <c:pt idx="4">
                  <c:v>на 01.05.13</c:v>
                </c:pt>
                <c:pt idx="5">
                  <c:v>на 01.06.13</c:v>
                </c:pt>
                <c:pt idx="6">
                  <c:v>на 01.07.13</c:v>
                </c:pt>
                <c:pt idx="7">
                  <c:v>на 01.08.13</c:v>
                </c:pt>
                <c:pt idx="8">
                  <c:v>на 01.09.13</c:v>
                </c:pt>
                <c:pt idx="9">
                  <c:v>на 01.10.13</c:v>
                </c:pt>
                <c:pt idx="10">
                  <c:v>на 01.11.13</c:v>
                </c:pt>
                <c:pt idx="11">
                  <c:v>на 01.12.13</c:v>
                </c:pt>
                <c:pt idx="12">
                  <c:v>на 01.01.14</c:v>
                </c:pt>
                <c:pt idx="13">
                  <c:v>на 01.02.14</c:v>
                </c:pt>
                <c:pt idx="14">
                  <c:v>на 01.03.14</c:v>
                </c:pt>
              </c:strCache>
            </c:strRef>
          </c:cat>
          <c:val>
            <c:numRef>
              <c:f>'дебиторка-кредиторка'!$D$8:$R$8</c:f>
              <c:numCache>
                <c:formatCode>#,##0.0</c:formatCode>
                <c:ptCount val="15"/>
                <c:pt idx="0">
                  <c:v>182.68630000000007</c:v>
                </c:pt>
                <c:pt idx="1">
                  <c:v>181.64689999999999</c:v>
                </c:pt>
                <c:pt idx="2">
                  <c:v>184.7302</c:v>
                </c:pt>
                <c:pt idx="3">
                  <c:v>191.73329999999999</c:v>
                </c:pt>
                <c:pt idx="4">
                  <c:v>192.65630000000004</c:v>
                </c:pt>
                <c:pt idx="5">
                  <c:v>198.71299999999999</c:v>
                </c:pt>
                <c:pt idx="6">
                  <c:v>209.50569999999999</c:v>
                </c:pt>
                <c:pt idx="7">
                  <c:v>214.9220000000002</c:v>
                </c:pt>
                <c:pt idx="8">
                  <c:v>221.73749999999998</c:v>
                </c:pt>
                <c:pt idx="9">
                  <c:v>225.83920000000001</c:v>
                </c:pt>
                <c:pt idx="10">
                  <c:v>228.88060000000004</c:v>
                </c:pt>
                <c:pt idx="11">
                  <c:v>235.13499999999999</c:v>
                </c:pt>
                <c:pt idx="12">
                  <c:v>241.3</c:v>
                </c:pt>
                <c:pt idx="13">
                  <c:v>239.1</c:v>
                </c:pt>
                <c:pt idx="14">
                  <c:v>238.5</c:v>
                </c:pt>
              </c:numCache>
            </c:numRef>
          </c:val>
        </c:ser>
        <c:ser>
          <c:idx val="0"/>
          <c:order val="1"/>
          <c:tx>
            <c:strRef>
              <c:f>'дебиторка-кредиторка'!$C$9</c:f>
              <c:strCache>
                <c:ptCount val="1"/>
                <c:pt idx="0">
                  <c:v>Дебиторская задолженность, в BYR трлн</c:v>
                </c:pt>
              </c:strCache>
            </c:strRef>
          </c:tx>
          <c:spPr>
            <a:ln>
              <a:solidFill>
                <a:srgbClr val="4F81BD"/>
              </a:solidFill>
            </a:ln>
          </c:spPr>
          <c:dLbls>
            <c:numFmt formatCode="#,##0.0" sourceLinked="0"/>
            <c:txPr>
              <a:bodyPr/>
              <a:lstStyle/>
              <a:p>
                <a:pPr>
                  <a:defRPr sz="1000">
                    <a:latin typeface="+mj-lt"/>
                  </a:defRPr>
                </a:pPr>
                <a:endParaRPr lang="ru-RU"/>
              </a:p>
            </c:txPr>
            <c:dLblPos val="b"/>
            <c:showVal val="1"/>
          </c:dLbls>
          <c:cat>
            <c:strRef>
              <c:f>'дебиторка-кредиторка'!$D$7:$R$7</c:f>
              <c:strCache>
                <c:ptCount val="15"/>
                <c:pt idx="0">
                  <c:v>на 01.01.13</c:v>
                </c:pt>
                <c:pt idx="1">
                  <c:v>на 01.02.13</c:v>
                </c:pt>
                <c:pt idx="2">
                  <c:v>на 01.03.13</c:v>
                </c:pt>
                <c:pt idx="3">
                  <c:v>на 01.04.13</c:v>
                </c:pt>
                <c:pt idx="4">
                  <c:v>на 01.05.13</c:v>
                </c:pt>
                <c:pt idx="5">
                  <c:v>на 01.06.13</c:v>
                </c:pt>
                <c:pt idx="6">
                  <c:v>на 01.07.13</c:v>
                </c:pt>
                <c:pt idx="7">
                  <c:v>на 01.08.13</c:v>
                </c:pt>
                <c:pt idx="8">
                  <c:v>на 01.09.13</c:v>
                </c:pt>
                <c:pt idx="9">
                  <c:v>на 01.10.13</c:v>
                </c:pt>
                <c:pt idx="10">
                  <c:v>на 01.11.13</c:v>
                </c:pt>
                <c:pt idx="11">
                  <c:v>на 01.12.13</c:v>
                </c:pt>
                <c:pt idx="12">
                  <c:v>на 01.01.14</c:v>
                </c:pt>
                <c:pt idx="13">
                  <c:v>на 01.02.14</c:v>
                </c:pt>
                <c:pt idx="14">
                  <c:v>на 01.03.14</c:v>
                </c:pt>
              </c:strCache>
            </c:strRef>
          </c:cat>
          <c:val>
            <c:numRef>
              <c:f>'дебиторка-кредиторка'!$D$9:$R$9</c:f>
              <c:numCache>
                <c:formatCode>#,##0.0</c:formatCode>
                <c:ptCount val="15"/>
                <c:pt idx="0">
                  <c:v>155.10459999999998</c:v>
                </c:pt>
                <c:pt idx="1">
                  <c:v>155.0111</c:v>
                </c:pt>
                <c:pt idx="2">
                  <c:v>157.6197999999998</c:v>
                </c:pt>
                <c:pt idx="3">
                  <c:v>160.5401</c:v>
                </c:pt>
                <c:pt idx="4">
                  <c:v>162.78379999999999</c:v>
                </c:pt>
                <c:pt idx="5">
                  <c:v>168.79559999999998</c:v>
                </c:pt>
                <c:pt idx="6">
                  <c:v>179.79149999999998</c:v>
                </c:pt>
                <c:pt idx="7">
                  <c:v>182.83510000000001</c:v>
                </c:pt>
                <c:pt idx="8">
                  <c:v>188.62559999999999</c:v>
                </c:pt>
                <c:pt idx="9">
                  <c:v>192.6893</c:v>
                </c:pt>
                <c:pt idx="10">
                  <c:v>193.91649999999998</c:v>
                </c:pt>
                <c:pt idx="11">
                  <c:v>196.51169999999999</c:v>
                </c:pt>
                <c:pt idx="12">
                  <c:v>195.8</c:v>
                </c:pt>
                <c:pt idx="13">
                  <c:v>193.3</c:v>
                </c:pt>
                <c:pt idx="14">
                  <c:v>196.3</c:v>
                </c:pt>
              </c:numCache>
            </c:numRef>
          </c:val>
        </c:ser>
        <c:marker val="1"/>
        <c:axId val="90704512"/>
        <c:axId val="90747264"/>
      </c:lineChart>
      <c:catAx>
        <c:axId val="90704512"/>
        <c:scaling>
          <c:orientation val="minMax"/>
        </c:scaling>
        <c:axPos val="b"/>
        <c:majorGridlines/>
        <c:tickLblPos val="low"/>
        <c:txPr>
          <a:bodyPr/>
          <a:lstStyle/>
          <a:p>
            <a:pPr>
              <a:defRPr sz="900">
                <a:latin typeface="+mj-lt"/>
              </a:defRPr>
            </a:pPr>
            <a:endParaRPr lang="ru-RU"/>
          </a:p>
        </c:txPr>
        <c:crossAx val="90747264"/>
        <c:crosses val="autoZero"/>
        <c:auto val="1"/>
        <c:lblAlgn val="ctr"/>
        <c:lblOffset val="100"/>
      </c:catAx>
      <c:valAx>
        <c:axId val="90747264"/>
        <c:scaling>
          <c:orientation val="minMax"/>
          <c:min val="150"/>
        </c:scaling>
        <c:axPos val="l"/>
        <c:majorGridlines/>
        <c:numFmt formatCode="#,##0" sourceLinked="0"/>
        <c:tickLblPos val="nextTo"/>
        <c:txPr>
          <a:bodyPr/>
          <a:lstStyle/>
          <a:p>
            <a:pPr>
              <a:defRPr sz="900">
                <a:latin typeface="+mj-lt"/>
              </a:defRPr>
            </a:pPr>
            <a:endParaRPr lang="ru-RU"/>
          </a:p>
        </c:txPr>
        <c:crossAx val="90704512"/>
        <c:crosses val="autoZero"/>
        <c:crossBetween val="between"/>
      </c:valAx>
      <c:spPr>
        <a:solidFill>
          <a:schemeClr val="bg1">
            <a:lumMod val="95000"/>
          </a:schemeClr>
        </a:solidFill>
      </c:spPr>
    </c:plotArea>
    <c:legend>
      <c:legendPos val="r"/>
      <c:layout>
        <c:manualLayout>
          <c:xMode val="edge"/>
          <c:yMode val="edge"/>
          <c:x val="4.3502647423389502E-2"/>
          <c:y val="0.8976893096397387"/>
          <c:w val="0.91710054896142557"/>
          <c:h val="8.2751499678035245E-2"/>
        </c:manualLayout>
      </c:layout>
      <c:txPr>
        <a:bodyPr/>
        <a:lstStyle/>
        <a:p>
          <a:pPr>
            <a:defRPr sz="1000">
              <a:latin typeface="+mj-lt"/>
            </a:defRPr>
          </a:pPr>
          <a:endParaRPr lang="ru-RU"/>
        </a:p>
      </c:txPr>
    </c:legend>
    <c:plotVisOnly val="1"/>
    <c:dispBlanksAs val="gap"/>
  </c:chart>
  <c:spPr>
    <a:ln>
      <a:noFill/>
    </a:ln>
    <a:effectLst/>
  </c:sp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Динамика задолженности по кредитам в иностранной валюте, выданным банками Беларуси секторам экономики, июль 2013-</a:t>
            </a:r>
            <a:r>
              <a:rPr lang="ru-RU" sz="1200" baseline="0"/>
              <a:t> март 2014 гг.</a:t>
            </a:r>
            <a:r>
              <a:rPr lang="ru-RU" sz="1200"/>
              <a:t>, в </a:t>
            </a:r>
            <a:r>
              <a:rPr lang="en-US" sz="1200" baseline="0"/>
              <a:t>USD</a:t>
            </a:r>
            <a:r>
              <a:rPr lang="ru-RU" sz="1200" baseline="0"/>
              <a:t> млн</a:t>
            </a:r>
            <a:endParaRPr lang="en-US" sz="1200"/>
          </a:p>
        </c:rich>
      </c:tx>
      <c:layout>
        <c:manualLayout>
          <c:xMode val="edge"/>
          <c:yMode val="edge"/>
          <c:x val="0.11702036257410432"/>
          <c:y val="1.6024461301243922E-2"/>
        </c:manualLayout>
      </c:layout>
    </c:title>
    <c:plotArea>
      <c:layout>
        <c:manualLayout>
          <c:layoutTarget val="inner"/>
          <c:xMode val="edge"/>
          <c:yMode val="edge"/>
          <c:x val="4.9920916186622394E-2"/>
          <c:y val="0.11158253420308016"/>
          <c:w val="0.92561729301512463"/>
          <c:h val="0.76191693319999765"/>
        </c:manualLayout>
      </c:layout>
      <c:barChart>
        <c:barDir val="col"/>
        <c:grouping val="clustered"/>
        <c:ser>
          <c:idx val="0"/>
          <c:order val="0"/>
          <c:dLbls>
            <c:dLbl>
              <c:idx val="4"/>
              <c:layout>
                <c:manualLayout>
                  <c:x val="0"/>
                  <c:y val="6.7114082137420036E-3"/>
                </c:manualLayout>
              </c:layout>
              <c:showVal val="1"/>
            </c:dLbl>
            <c:dLbl>
              <c:idx val="5"/>
              <c:layout>
                <c:manualLayout>
                  <c:x val="1.1409175761430503E-16"/>
                  <c:y val="6.7114082137419836E-3"/>
                </c:manualLayout>
              </c:layout>
              <c:showVal val="1"/>
            </c:dLbl>
            <c:numFmt formatCode="#,##0.0" sourceLinked="0"/>
            <c:txPr>
              <a:bodyPr/>
              <a:lstStyle/>
              <a:p>
                <a:pPr>
                  <a:defRPr sz="1000">
                    <a:latin typeface="+mj-lt"/>
                  </a:defRPr>
                </a:pPr>
                <a:endParaRPr lang="ru-RU"/>
              </a:p>
            </c:txPr>
            <c:showVal val="1"/>
          </c:dLbls>
          <c:cat>
            <c:strRef>
              <c:f>'задолж. в ин валюте'!$I$3:$R$3</c:f>
              <c:strCache>
                <c:ptCount val="10"/>
                <c:pt idx="0">
                  <c:v>на 01.07.13</c:v>
                </c:pt>
                <c:pt idx="1">
                  <c:v>на 01.08.13</c:v>
                </c:pt>
                <c:pt idx="2">
                  <c:v>на 01.09.13</c:v>
                </c:pt>
                <c:pt idx="3">
                  <c:v>на 01.10.13</c:v>
                </c:pt>
                <c:pt idx="4">
                  <c:v>на 01.11.13</c:v>
                </c:pt>
                <c:pt idx="5">
                  <c:v>на 01.12.13</c:v>
                </c:pt>
                <c:pt idx="6">
                  <c:v>на 01.01.14</c:v>
                </c:pt>
                <c:pt idx="7">
                  <c:v>на 01.02.14</c:v>
                </c:pt>
                <c:pt idx="8">
                  <c:v>на 01.03.14</c:v>
                </c:pt>
                <c:pt idx="9">
                  <c:v>на 01.04.14</c:v>
                </c:pt>
              </c:strCache>
            </c:strRef>
          </c:cat>
          <c:val>
            <c:numRef>
              <c:f>'задолж. в ин валюте'!$I$6:$R$6</c:f>
              <c:numCache>
                <c:formatCode>#,##0.0</c:formatCode>
                <c:ptCount val="10"/>
                <c:pt idx="0">
                  <c:v>11825.4</c:v>
                </c:pt>
                <c:pt idx="1">
                  <c:v>12110.3</c:v>
                </c:pt>
                <c:pt idx="2">
                  <c:v>12444.5</c:v>
                </c:pt>
                <c:pt idx="3">
                  <c:v>12935.3</c:v>
                </c:pt>
                <c:pt idx="4">
                  <c:v>13348.6</c:v>
                </c:pt>
                <c:pt idx="5">
                  <c:v>13452.2</c:v>
                </c:pt>
                <c:pt idx="6">
                  <c:v>13698.8</c:v>
                </c:pt>
                <c:pt idx="7">
                  <c:v>13822</c:v>
                </c:pt>
                <c:pt idx="8">
                  <c:v>13945.5</c:v>
                </c:pt>
                <c:pt idx="9">
                  <c:v>14037.7</c:v>
                </c:pt>
              </c:numCache>
            </c:numRef>
          </c:val>
        </c:ser>
        <c:axId val="90706304"/>
        <c:axId val="90707840"/>
      </c:barChart>
      <c:catAx>
        <c:axId val="90706304"/>
        <c:scaling>
          <c:orientation val="minMax"/>
        </c:scaling>
        <c:axPos val="b"/>
        <c:majorGridlines/>
        <c:numFmt formatCode="dd/mmm" sourceLinked="1"/>
        <c:tickLblPos val="low"/>
        <c:txPr>
          <a:bodyPr/>
          <a:lstStyle/>
          <a:p>
            <a:pPr>
              <a:defRPr sz="900">
                <a:latin typeface="+mj-lt"/>
              </a:defRPr>
            </a:pPr>
            <a:endParaRPr lang="ru-RU"/>
          </a:p>
        </c:txPr>
        <c:crossAx val="90707840"/>
        <c:crosses val="autoZero"/>
        <c:auto val="1"/>
        <c:lblAlgn val="ctr"/>
        <c:lblOffset val="100"/>
      </c:catAx>
      <c:valAx>
        <c:axId val="90707840"/>
        <c:scaling>
          <c:orientation val="minMax"/>
          <c:min val="10000"/>
        </c:scaling>
        <c:axPos val="l"/>
        <c:majorGridlines/>
        <c:numFmt formatCode="#,##0" sourceLinked="0"/>
        <c:tickLblPos val="nextTo"/>
        <c:txPr>
          <a:bodyPr/>
          <a:lstStyle/>
          <a:p>
            <a:pPr>
              <a:defRPr sz="900">
                <a:latin typeface="+mj-lt"/>
              </a:defRPr>
            </a:pPr>
            <a:endParaRPr lang="ru-RU"/>
          </a:p>
        </c:txPr>
        <c:crossAx val="90706304"/>
        <c:crosses val="autoZero"/>
        <c:crossBetween val="between"/>
        <c:minorUnit val="50"/>
      </c:valAx>
      <c:spPr>
        <a:solidFill>
          <a:schemeClr val="bg1">
            <a:lumMod val="95000"/>
          </a:schemeClr>
        </a:solidFill>
      </c:spPr>
    </c:plotArea>
    <c:plotVisOnly val="1"/>
    <c:dispBlanksAs val="gap"/>
  </c:chart>
  <c:spPr>
    <a:ln>
      <a:noFill/>
    </a:ln>
    <a:effectLst/>
  </c:sp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Динамика задолженности  по кредитам в национальной валюте, выданным банками Беларуси секторам экономики,</a:t>
            </a:r>
            <a:r>
              <a:rPr lang="ru-RU" sz="1200" baseline="0"/>
              <a:t> июль 2013-март 2014 гг.</a:t>
            </a:r>
            <a:r>
              <a:rPr lang="ru-RU" sz="1200"/>
              <a:t>, в </a:t>
            </a:r>
            <a:r>
              <a:rPr lang="en-US" sz="1200"/>
              <a:t>BYR</a:t>
            </a:r>
            <a:r>
              <a:rPr lang="ru-RU" sz="1200"/>
              <a:t> трлн</a:t>
            </a:r>
            <a:endParaRPr lang="en-US" sz="1200"/>
          </a:p>
        </c:rich>
      </c:tx>
      <c:layout>
        <c:manualLayout>
          <c:xMode val="edge"/>
          <c:yMode val="edge"/>
          <c:x val="0.14358125205898084"/>
          <c:y val="1.8008439395029281E-2"/>
        </c:manualLayout>
      </c:layout>
    </c:title>
    <c:plotArea>
      <c:layout>
        <c:manualLayout>
          <c:layoutTarget val="inner"/>
          <c:xMode val="edge"/>
          <c:yMode val="edge"/>
          <c:x val="4.9920916186622394E-2"/>
          <c:y val="0.10482202354333472"/>
          <c:w val="0.92943407031394243"/>
          <c:h val="0.7719795715025326"/>
        </c:manualLayout>
      </c:layout>
      <c:barChart>
        <c:barDir val="col"/>
        <c:grouping val="clustered"/>
        <c:ser>
          <c:idx val="0"/>
          <c:order val="0"/>
          <c:dLbls>
            <c:txPr>
              <a:bodyPr/>
              <a:lstStyle/>
              <a:p>
                <a:pPr>
                  <a:defRPr sz="1000">
                    <a:latin typeface="+mj-lt"/>
                  </a:defRPr>
                </a:pPr>
                <a:endParaRPr lang="ru-RU"/>
              </a:p>
            </c:txPr>
            <c:showVal val="1"/>
          </c:dLbls>
          <c:cat>
            <c:strRef>
              <c:f>'задолж. в нац валюте'!$H$1:$Q$1</c:f>
              <c:strCache>
                <c:ptCount val="10"/>
                <c:pt idx="0">
                  <c:v>на 01.07.13</c:v>
                </c:pt>
                <c:pt idx="1">
                  <c:v>на 01.08.13</c:v>
                </c:pt>
                <c:pt idx="2">
                  <c:v>на 01.09.13</c:v>
                </c:pt>
                <c:pt idx="3">
                  <c:v>на 01.10.13</c:v>
                </c:pt>
                <c:pt idx="4">
                  <c:v>на 01.11.13</c:v>
                </c:pt>
                <c:pt idx="5">
                  <c:v>на 01.12.13</c:v>
                </c:pt>
                <c:pt idx="6">
                  <c:v>на 01.01.14</c:v>
                </c:pt>
                <c:pt idx="7">
                  <c:v>на 01.02.14</c:v>
                </c:pt>
                <c:pt idx="8">
                  <c:v>на 01.03.14</c:v>
                </c:pt>
                <c:pt idx="9">
                  <c:v>на 01.04.14</c:v>
                </c:pt>
              </c:strCache>
            </c:strRef>
          </c:cat>
          <c:val>
            <c:numRef>
              <c:f>'задолж. в нац валюте'!$H$2:$Q$2</c:f>
              <c:numCache>
                <c:formatCode>#,##0.0</c:formatCode>
                <c:ptCount val="10"/>
                <c:pt idx="0">
                  <c:v>119.57259999999998</c:v>
                </c:pt>
                <c:pt idx="1">
                  <c:v>123.39530000000001</c:v>
                </c:pt>
                <c:pt idx="2">
                  <c:v>126.35229999999999</c:v>
                </c:pt>
                <c:pt idx="3">
                  <c:v>128.38620000000023</c:v>
                </c:pt>
                <c:pt idx="4">
                  <c:v>128.6711</c:v>
                </c:pt>
                <c:pt idx="5">
                  <c:v>127.7163</c:v>
                </c:pt>
                <c:pt idx="6">
                  <c:v>129.11509999999998</c:v>
                </c:pt>
                <c:pt idx="7">
                  <c:v>129.39870000000019</c:v>
                </c:pt>
                <c:pt idx="8">
                  <c:v>130.6</c:v>
                </c:pt>
                <c:pt idx="9">
                  <c:v>132.6</c:v>
                </c:pt>
              </c:numCache>
            </c:numRef>
          </c:val>
        </c:ser>
        <c:axId val="91141632"/>
        <c:axId val="91143168"/>
      </c:barChart>
      <c:catAx>
        <c:axId val="91141632"/>
        <c:scaling>
          <c:orientation val="minMax"/>
        </c:scaling>
        <c:axPos val="b"/>
        <c:majorGridlines/>
        <c:tickLblPos val="low"/>
        <c:txPr>
          <a:bodyPr/>
          <a:lstStyle/>
          <a:p>
            <a:pPr>
              <a:defRPr sz="900">
                <a:latin typeface="+mj-lt"/>
              </a:defRPr>
            </a:pPr>
            <a:endParaRPr lang="ru-RU"/>
          </a:p>
        </c:txPr>
        <c:crossAx val="91143168"/>
        <c:crosses val="autoZero"/>
        <c:auto val="1"/>
        <c:lblAlgn val="ctr"/>
        <c:lblOffset val="100"/>
      </c:catAx>
      <c:valAx>
        <c:axId val="91143168"/>
        <c:scaling>
          <c:orientation val="minMax"/>
        </c:scaling>
        <c:axPos val="l"/>
        <c:majorGridlines/>
        <c:numFmt formatCode="#,##0" sourceLinked="0"/>
        <c:tickLblPos val="nextTo"/>
        <c:txPr>
          <a:bodyPr/>
          <a:lstStyle/>
          <a:p>
            <a:pPr>
              <a:defRPr sz="900">
                <a:latin typeface="+mj-lt"/>
              </a:defRPr>
            </a:pPr>
            <a:endParaRPr lang="ru-RU"/>
          </a:p>
        </c:txPr>
        <c:crossAx val="91141632"/>
        <c:crosses val="autoZero"/>
        <c:crossBetween val="between"/>
      </c:valAx>
      <c:spPr>
        <a:solidFill>
          <a:schemeClr val="bg1">
            <a:lumMod val="95000"/>
          </a:schemeClr>
        </a:solidFill>
      </c:spPr>
    </c:plotArea>
    <c:plotVisOnly val="1"/>
    <c:dispBlanksAs val="gap"/>
  </c:chart>
  <c:spPr>
    <a:ln>
      <a:noFill/>
    </a:ln>
    <a:effectLst/>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Объем промышленного производства 2013-2014 гг. (в текущих ценах), в </a:t>
            </a:r>
            <a:r>
              <a:rPr lang="en-US" sz="1200"/>
              <a:t>BYR </a:t>
            </a:r>
            <a:r>
              <a:rPr lang="ru-RU" sz="1200" baseline="0"/>
              <a:t> млрд</a:t>
            </a:r>
            <a:endParaRPr lang="ru-RU" sz="1200"/>
          </a:p>
        </c:rich>
      </c:tx>
      <c:layout>
        <c:manualLayout>
          <c:xMode val="edge"/>
          <c:yMode val="edge"/>
          <c:x val="0.18038155751908747"/>
          <c:y val="2.7576321931042189E-2"/>
        </c:manualLayout>
      </c:layout>
    </c:title>
    <c:plotArea>
      <c:layout>
        <c:manualLayout>
          <c:layoutTarget val="inner"/>
          <c:xMode val="edge"/>
          <c:yMode val="edge"/>
          <c:x val="0.10840042363125672"/>
          <c:y val="0.14129165501244592"/>
          <c:w val="0.84325210664456463"/>
          <c:h val="0.80089089235593014"/>
        </c:manualLayout>
      </c:layout>
      <c:barChart>
        <c:barDir val="bar"/>
        <c:grouping val="clustered"/>
        <c:ser>
          <c:idx val="0"/>
          <c:order val="0"/>
          <c:tx>
            <c:strRef>
              <c:f>'пром производ'!$B$14</c:f>
              <c:strCache>
                <c:ptCount val="1"/>
                <c:pt idx="0">
                  <c:v>Объем промышленного производства в 2013 году, BYR млрд</c:v>
                </c:pt>
              </c:strCache>
            </c:strRef>
          </c:tx>
          <c:dLbls>
            <c:txPr>
              <a:bodyPr/>
              <a:lstStyle/>
              <a:p>
                <a:pPr>
                  <a:defRPr sz="1000" i="0">
                    <a:latin typeface="+mj-lt"/>
                  </a:defRPr>
                </a:pPr>
                <a:endParaRPr lang="ru-RU"/>
              </a:p>
            </c:txPr>
            <c:dLblPos val="outEnd"/>
            <c:showVal val="1"/>
          </c:dLbls>
          <c:cat>
            <c:strRef>
              <c:f>'пром производ'!$B$6:$N$6</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'пром производ'!$B$8:$M$8</c:f>
              <c:numCache>
                <c:formatCode>#,##0.0</c:formatCode>
                <c:ptCount val="12"/>
                <c:pt idx="0">
                  <c:v>49679</c:v>
                </c:pt>
                <c:pt idx="1">
                  <c:v>48056.5</c:v>
                </c:pt>
                <c:pt idx="2">
                  <c:v>51728.2</c:v>
                </c:pt>
                <c:pt idx="3">
                  <c:v>50795.8</c:v>
                </c:pt>
                <c:pt idx="4">
                  <c:v>49729.8</c:v>
                </c:pt>
                <c:pt idx="5">
                  <c:v>51333.4</c:v>
                </c:pt>
                <c:pt idx="6">
                  <c:v>51543.8</c:v>
                </c:pt>
                <c:pt idx="7">
                  <c:v>51888.1</c:v>
                </c:pt>
                <c:pt idx="8">
                  <c:v>51339.8</c:v>
                </c:pt>
                <c:pt idx="9">
                  <c:v>50847.3</c:v>
                </c:pt>
                <c:pt idx="10">
                  <c:v>50140.7</c:v>
                </c:pt>
                <c:pt idx="11">
                  <c:v>52131.6</c:v>
                </c:pt>
              </c:numCache>
            </c:numRef>
          </c:val>
        </c:ser>
        <c:ser>
          <c:idx val="2"/>
          <c:order val="1"/>
          <c:tx>
            <c:strRef>
              <c:f>'пром производ'!$B$15</c:f>
              <c:strCache>
                <c:ptCount val="1"/>
                <c:pt idx="0">
                  <c:v>Объем промышленного производства в 2014 году, BYR млрд</c:v>
                </c:pt>
              </c:strCache>
            </c:strRef>
          </c:tx>
          <c:spPr>
            <a:solidFill>
              <a:srgbClr val="CC0000"/>
            </a:solidFill>
          </c:spPr>
          <c:dLbls>
            <c:numFmt formatCode="#,##0.0" sourceLinked="0"/>
            <c:txPr>
              <a:bodyPr/>
              <a:lstStyle/>
              <a:p>
                <a:pPr>
                  <a:defRPr sz="1050" b="1" i="1">
                    <a:latin typeface="+mj-lt"/>
                  </a:defRPr>
                </a:pPr>
                <a:endParaRPr lang="ru-RU"/>
              </a:p>
            </c:txPr>
            <c:dLblPos val="outEnd"/>
            <c:showVal val="1"/>
          </c:dLbls>
          <c:cat>
            <c:strRef>
              <c:f>'пром производ'!$B$6:$M$6</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'пром производ'!$B$9:$M$9</c:f>
              <c:numCache>
                <c:formatCode>#,##0.0</c:formatCode>
                <c:ptCount val="12"/>
                <c:pt idx="0">
                  <c:v>52343.5</c:v>
                </c:pt>
                <c:pt idx="1">
                  <c:v>51493.1</c:v>
                </c:pt>
                <c:pt idx="2">
                  <c:v>57876.2</c:v>
                </c:pt>
              </c:numCache>
            </c:numRef>
          </c:val>
        </c:ser>
        <c:gapWidth val="144"/>
        <c:overlap val="-58"/>
        <c:axId val="77420416"/>
        <c:axId val="77421952"/>
      </c:barChart>
      <c:catAx>
        <c:axId val="77420416"/>
        <c:scaling>
          <c:orientation val="maxMin"/>
        </c:scaling>
        <c:axPos val="l"/>
        <c:majorGridlines/>
        <c:numFmt formatCode="mmm/yy" sourceLinked="1"/>
        <c:tickLblPos val="low"/>
        <c:txPr>
          <a:bodyPr/>
          <a:lstStyle/>
          <a:p>
            <a:pPr>
              <a:defRPr sz="1000">
                <a:latin typeface="+mj-lt"/>
              </a:defRPr>
            </a:pPr>
            <a:endParaRPr lang="ru-RU"/>
          </a:p>
        </c:txPr>
        <c:crossAx val="77421952"/>
        <c:crosses val="autoZero"/>
        <c:auto val="1"/>
        <c:lblAlgn val="ctr"/>
        <c:lblOffset val="100"/>
      </c:catAx>
      <c:valAx>
        <c:axId val="77421952"/>
        <c:scaling>
          <c:orientation val="minMax"/>
          <c:min val="0"/>
        </c:scaling>
        <c:axPos val="t"/>
        <c:numFmt formatCode="#,##0" sourceLinked="0"/>
        <c:tickLblPos val="nextTo"/>
        <c:txPr>
          <a:bodyPr/>
          <a:lstStyle/>
          <a:p>
            <a:pPr>
              <a:defRPr sz="1000">
                <a:latin typeface="+mj-lt"/>
              </a:defRPr>
            </a:pPr>
            <a:endParaRPr lang="ru-RU"/>
          </a:p>
        </c:txPr>
        <c:crossAx val="77420416"/>
        <c:crosses val="autoZero"/>
        <c:crossBetween val="between"/>
        <c:minorUnit val="50"/>
      </c:valAx>
      <c:spPr>
        <a:solidFill>
          <a:schemeClr val="bg1">
            <a:lumMod val="95000"/>
          </a:schemeClr>
        </a:solidFill>
      </c:spPr>
    </c:plotArea>
    <c:legend>
      <c:legendPos val="r"/>
      <c:legendEntry>
        <c:idx val="0"/>
        <c:txPr>
          <a:bodyPr/>
          <a:lstStyle/>
          <a:p>
            <a:pPr>
              <a:defRPr sz="1000" i="0">
                <a:latin typeface="+mj-lt"/>
              </a:defRPr>
            </a:pPr>
            <a:endParaRPr lang="ru-RU"/>
          </a:p>
        </c:txPr>
      </c:legendEntry>
      <c:legendEntry>
        <c:idx val="1"/>
        <c:txPr>
          <a:bodyPr/>
          <a:lstStyle/>
          <a:p>
            <a:pPr>
              <a:defRPr sz="1000" b="1" i="1">
                <a:latin typeface="+mj-lt"/>
              </a:defRPr>
            </a:pPr>
            <a:endParaRPr lang="ru-RU"/>
          </a:p>
        </c:txPr>
      </c:legendEntry>
      <c:layout>
        <c:manualLayout>
          <c:xMode val="edge"/>
          <c:yMode val="edge"/>
          <c:x val="1.5787223429650481E-3"/>
          <c:y val="0.94177352366270184"/>
          <c:w val="0.96380173632142463"/>
          <c:h val="4.6727368955423912E-2"/>
        </c:manualLayout>
      </c:layout>
      <c:txPr>
        <a:bodyPr/>
        <a:lstStyle/>
        <a:p>
          <a:pPr>
            <a:defRPr sz="1000">
              <a:latin typeface="+mj-lt"/>
            </a:defRPr>
          </a:pPr>
          <a:endParaRPr lang="ru-RU"/>
        </a:p>
      </c:txPr>
    </c:legend>
    <c:plotVisOnly val="1"/>
    <c:dispBlanksAs val="gap"/>
  </c:chart>
  <c:spPr>
    <a:ln>
      <a:noFill/>
    </a:ln>
    <a:effectLst/>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Объем промышленного производства 2013-2014 гг.,</a:t>
            </a:r>
            <a:r>
              <a:rPr lang="ru-RU" sz="1200" baseline="0"/>
              <a:t> </a:t>
            </a:r>
            <a:r>
              <a:rPr lang="ru-RU" sz="1200"/>
              <a:t>в % к соответствующему периоду предыдущего года в сопоставимых ценах</a:t>
            </a:r>
          </a:p>
        </c:rich>
      </c:tx>
      <c:layout>
        <c:manualLayout>
          <c:xMode val="edge"/>
          <c:yMode val="edge"/>
          <c:x val="9.259138025095473E-2"/>
          <c:y val="1.4010510456952247E-2"/>
        </c:manualLayout>
      </c:layout>
    </c:title>
    <c:plotArea>
      <c:layout>
        <c:manualLayout>
          <c:layoutTarget val="inner"/>
          <c:xMode val="edge"/>
          <c:yMode val="edge"/>
          <c:x val="0.13933265400648448"/>
          <c:y val="8.397081537647362E-2"/>
          <c:w val="0.81231990118882202"/>
          <c:h val="0.7607313437672143"/>
        </c:manualLayout>
      </c:layout>
      <c:barChart>
        <c:barDir val="bar"/>
        <c:grouping val="clustered"/>
        <c:ser>
          <c:idx val="3"/>
          <c:order val="0"/>
          <c:tx>
            <c:strRef>
              <c:f>'пром производ'!$B$11</c:f>
              <c:strCache>
                <c:ptCount val="1"/>
                <c:pt idx="0">
                  <c:v> 2013 г. в % к соответствующему периоду 2012 года, в сопоставимых ценах</c:v>
                </c:pt>
              </c:strCache>
            </c:strRef>
          </c:tx>
          <c:spPr>
            <a:solidFill>
              <a:srgbClr val="0070C0"/>
            </a:solidFill>
            <a:ln>
              <a:noFill/>
            </a:ln>
          </c:spPr>
          <c:dLbls>
            <c:txPr>
              <a:bodyPr/>
              <a:lstStyle/>
              <a:p>
                <a:pPr>
                  <a:defRPr sz="1050" b="1" i="1">
                    <a:latin typeface="+mj-lt"/>
                  </a:defRPr>
                </a:pPr>
                <a:endParaRPr lang="ru-RU"/>
              </a:p>
            </c:txPr>
            <c:showVal val="1"/>
          </c:dLbls>
          <c:cat>
            <c:strRef>
              <c:f>'пром производ'!$B$6:$M$6</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'пром производ'!$B$4:$M$4</c:f>
              <c:numCache>
                <c:formatCode>#,##0.0</c:formatCode>
                <c:ptCount val="12"/>
                <c:pt idx="0">
                  <c:v>100.4</c:v>
                </c:pt>
                <c:pt idx="1">
                  <c:v>98.8</c:v>
                </c:pt>
                <c:pt idx="2">
                  <c:v>97.5</c:v>
                </c:pt>
                <c:pt idx="3">
                  <c:v>96.5</c:v>
                </c:pt>
                <c:pt idx="4">
                  <c:v>89.5</c:v>
                </c:pt>
                <c:pt idx="5">
                  <c:v>92.4</c:v>
                </c:pt>
                <c:pt idx="6">
                  <c:v>93.6</c:v>
                </c:pt>
                <c:pt idx="7">
                  <c:v>93.1</c:v>
                </c:pt>
                <c:pt idx="8">
                  <c:v>97</c:v>
                </c:pt>
                <c:pt idx="9">
                  <c:v>95.4</c:v>
                </c:pt>
                <c:pt idx="10">
                  <c:v>93.2</c:v>
                </c:pt>
                <c:pt idx="11" formatCode="General">
                  <c:v>95.2</c:v>
                </c:pt>
              </c:numCache>
            </c:numRef>
          </c:val>
        </c:ser>
        <c:ser>
          <c:idx val="0"/>
          <c:order val="1"/>
          <c:tx>
            <c:strRef>
              <c:f>'пром производ'!$B$12</c:f>
              <c:strCache>
                <c:ptCount val="1"/>
                <c:pt idx="0">
                  <c:v> 2014 г. в % к соответствующему периоду 2013 года, в сопоставимых ценах</c:v>
                </c:pt>
              </c:strCache>
            </c:strRef>
          </c:tx>
          <c:spPr>
            <a:solidFill>
              <a:srgbClr val="C00000"/>
            </a:solidFill>
          </c:spPr>
          <c:dLbls>
            <c:txPr>
              <a:bodyPr/>
              <a:lstStyle/>
              <a:p>
                <a:pPr>
                  <a:defRPr sz="1000">
                    <a:latin typeface="+mj-lt"/>
                  </a:defRPr>
                </a:pPr>
                <a:endParaRPr lang="ru-RU"/>
              </a:p>
            </c:txPr>
            <c:showVal val="1"/>
          </c:dLbls>
          <c:cat>
            <c:strRef>
              <c:f>'пром производ'!$B$6:$M$6</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'пром производ'!$B$5:$M$5</c:f>
              <c:numCache>
                <c:formatCode>#,##0.0</c:formatCode>
                <c:ptCount val="12"/>
                <c:pt idx="0">
                  <c:v>92.9</c:v>
                </c:pt>
                <c:pt idx="1">
                  <c:v>96.2</c:v>
                </c:pt>
              </c:numCache>
            </c:numRef>
          </c:val>
        </c:ser>
        <c:axId val="77508608"/>
        <c:axId val="77457664"/>
      </c:barChart>
      <c:valAx>
        <c:axId val="77457664"/>
        <c:scaling>
          <c:orientation val="minMax"/>
          <c:min val="80"/>
        </c:scaling>
        <c:axPos val="b"/>
        <c:numFmt formatCode="#,##0" sourceLinked="0"/>
        <c:tickLblPos val="nextTo"/>
        <c:txPr>
          <a:bodyPr/>
          <a:lstStyle/>
          <a:p>
            <a:pPr>
              <a:defRPr sz="900">
                <a:latin typeface="+mj-lt"/>
              </a:defRPr>
            </a:pPr>
            <a:endParaRPr lang="ru-RU"/>
          </a:p>
        </c:txPr>
        <c:crossAx val="77508608"/>
        <c:crosses val="max"/>
        <c:crossBetween val="between"/>
      </c:valAx>
      <c:catAx>
        <c:axId val="77508608"/>
        <c:scaling>
          <c:orientation val="maxMin"/>
        </c:scaling>
        <c:axPos val="l"/>
        <c:majorGridlines/>
        <c:numFmt formatCode="mmm/yy" sourceLinked="1"/>
        <c:tickLblPos val="low"/>
        <c:txPr>
          <a:bodyPr/>
          <a:lstStyle/>
          <a:p>
            <a:pPr>
              <a:defRPr sz="900">
                <a:latin typeface="+mj-lt"/>
              </a:defRPr>
            </a:pPr>
            <a:endParaRPr lang="ru-RU"/>
          </a:p>
        </c:txPr>
        <c:crossAx val="77457664"/>
        <c:crossesAt val="100"/>
        <c:auto val="1"/>
        <c:lblAlgn val="ctr"/>
        <c:lblOffset val="100"/>
      </c:catAx>
      <c:spPr>
        <a:solidFill>
          <a:schemeClr val="bg1">
            <a:lumMod val="95000"/>
          </a:schemeClr>
        </a:solidFill>
      </c:spPr>
    </c:plotArea>
    <c:legend>
      <c:legendPos val="r"/>
      <c:legendEntry>
        <c:idx val="0"/>
        <c:txPr>
          <a:bodyPr/>
          <a:lstStyle/>
          <a:p>
            <a:pPr>
              <a:defRPr sz="900" b="1" i="1">
                <a:latin typeface="+mj-lt"/>
              </a:defRPr>
            </a:pPr>
            <a:endParaRPr lang="ru-RU"/>
          </a:p>
        </c:txPr>
      </c:legendEntry>
      <c:layout>
        <c:manualLayout>
          <c:xMode val="edge"/>
          <c:yMode val="edge"/>
          <c:x val="4.5953302615637324E-3"/>
          <c:y val="0.91383192751529874"/>
          <c:w val="0.9576470588235324"/>
          <c:h val="6.4883051965913749E-2"/>
        </c:manualLayout>
      </c:layout>
      <c:txPr>
        <a:bodyPr/>
        <a:lstStyle/>
        <a:p>
          <a:pPr>
            <a:defRPr sz="900">
              <a:latin typeface="+mj-lt"/>
            </a:defRPr>
          </a:pPr>
          <a:endParaRPr lang="ru-RU"/>
        </a:p>
      </c:txPr>
    </c:legend>
    <c:plotVisOnly val="1"/>
    <c:dispBlanksAs val="gap"/>
  </c:chart>
  <c:spPr>
    <a:ln>
      <a:noFill/>
    </a:ln>
    <a:effectLst/>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Объем розничного товарооборота 2013-2014 гг. (в текущих ценах), в </a:t>
            </a:r>
            <a:r>
              <a:rPr lang="en-US" sz="1200"/>
              <a:t>BYR </a:t>
            </a:r>
            <a:r>
              <a:rPr lang="ru-RU" sz="1200" baseline="0"/>
              <a:t> млрд</a:t>
            </a:r>
            <a:endParaRPr lang="ru-RU" sz="1200"/>
          </a:p>
        </c:rich>
      </c:tx>
      <c:layout>
        <c:manualLayout>
          <c:xMode val="edge"/>
          <c:yMode val="edge"/>
          <c:x val="0.13029880880274591"/>
          <c:y val="1.7314898834671688E-2"/>
        </c:manualLayout>
      </c:layout>
    </c:title>
    <c:plotArea>
      <c:layout>
        <c:manualLayout>
          <c:layoutTarget val="inner"/>
          <c:xMode val="edge"/>
          <c:yMode val="edge"/>
          <c:x val="0.10840042363125672"/>
          <c:y val="0.11540196727357747"/>
          <c:w val="0.84325210664456463"/>
          <c:h val="0.78894171896750365"/>
        </c:manualLayout>
      </c:layout>
      <c:barChart>
        <c:barDir val="bar"/>
        <c:grouping val="clustered"/>
        <c:ser>
          <c:idx val="0"/>
          <c:order val="0"/>
          <c:tx>
            <c:strRef>
              <c:f>'розничный товарооборот'!$B$4</c:f>
              <c:strCache>
                <c:ptCount val="1"/>
                <c:pt idx="0">
                  <c:v>Розничный товарооборот торговли через все каналы реализации 2013 год, BYR млрд (в текущих ценах)</c:v>
                </c:pt>
              </c:strCache>
            </c:strRef>
          </c:tx>
          <c:spPr>
            <a:solidFill>
              <a:srgbClr val="0070C0"/>
            </a:solidFill>
          </c:spPr>
          <c:dLbls>
            <c:txPr>
              <a:bodyPr/>
              <a:lstStyle/>
              <a:p>
                <a:pPr>
                  <a:defRPr sz="1000" i="0">
                    <a:latin typeface="+mj-lt"/>
                  </a:defRPr>
                </a:pPr>
                <a:endParaRPr lang="ru-RU"/>
              </a:p>
            </c:txPr>
            <c:dLblPos val="outEnd"/>
            <c:showVal val="1"/>
          </c:dLbls>
          <c:cat>
            <c:strRef>
              <c:f>'розничный товарооборот'!$C$2:$N$2</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'розничный товарооборот'!$C$4:$N$4</c:f>
              <c:numCache>
                <c:formatCode>#,##0.0</c:formatCode>
                <c:ptCount val="12"/>
                <c:pt idx="0">
                  <c:v>17459.400000000001</c:v>
                </c:pt>
                <c:pt idx="1">
                  <c:v>17405.5</c:v>
                </c:pt>
                <c:pt idx="2">
                  <c:v>19624.2</c:v>
                </c:pt>
                <c:pt idx="3">
                  <c:v>19497.599999999973</c:v>
                </c:pt>
                <c:pt idx="4">
                  <c:v>20780.2</c:v>
                </c:pt>
                <c:pt idx="5">
                  <c:v>21112.799999999996</c:v>
                </c:pt>
                <c:pt idx="6">
                  <c:v>22279.599999999973</c:v>
                </c:pt>
                <c:pt idx="7">
                  <c:v>22972</c:v>
                </c:pt>
                <c:pt idx="8">
                  <c:v>22285.4</c:v>
                </c:pt>
                <c:pt idx="9">
                  <c:v>23138.1</c:v>
                </c:pt>
                <c:pt idx="10">
                  <c:v>22618.5</c:v>
                </c:pt>
                <c:pt idx="11">
                  <c:v>29759.9</c:v>
                </c:pt>
              </c:numCache>
            </c:numRef>
          </c:val>
        </c:ser>
        <c:ser>
          <c:idx val="2"/>
          <c:order val="1"/>
          <c:tx>
            <c:strRef>
              <c:f>'розничный товарооборот'!$B$5</c:f>
              <c:strCache>
                <c:ptCount val="1"/>
                <c:pt idx="0">
                  <c:v>Розничный товарооборот торговли через все каналы реализации 2014 год, BYR млрд (в текущих ценах)</c:v>
                </c:pt>
              </c:strCache>
            </c:strRef>
          </c:tx>
          <c:spPr>
            <a:solidFill>
              <a:srgbClr val="CC0000"/>
            </a:solidFill>
          </c:spPr>
          <c:dLbls>
            <c:txPr>
              <a:bodyPr/>
              <a:lstStyle/>
              <a:p>
                <a:pPr>
                  <a:defRPr sz="1050" b="1" i="1">
                    <a:latin typeface="+mj-lt"/>
                  </a:defRPr>
                </a:pPr>
                <a:endParaRPr lang="ru-RU"/>
              </a:p>
            </c:txPr>
            <c:dLblPos val="outEnd"/>
            <c:showVal val="1"/>
          </c:dLbls>
          <c:cat>
            <c:strRef>
              <c:f>'розничный товарооборот'!$C$2:$N$2</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'розничный товарооборот'!$C$5:$N$5</c:f>
              <c:numCache>
                <c:formatCode>#,##0.0</c:formatCode>
                <c:ptCount val="12"/>
                <c:pt idx="0">
                  <c:v>21603</c:v>
                </c:pt>
                <c:pt idx="1">
                  <c:v>21463.7</c:v>
                </c:pt>
                <c:pt idx="2">
                  <c:v>24519.4</c:v>
                </c:pt>
              </c:numCache>
            </c:numRef>
          </c:val>
        </c:ser>
        <c:gapWidth val="144"/>
        <c:overlap val="-58"/>
        <c:axId val="77542144"/>
        <c:axId val="77543680"/>
      </c:barChart>
      <c:catAx>
        <c:axId val="77542144"/>
        <c:scaling>
          <c:orientation val="maxMin"/>
        </c:scaling>
        <c:axPos val="l"/>
        <c:majorGridlines/>
        <c:numFmt formatCode="mmm/yy" sourceLinked="1"/>
        <c:tickLblPos val="low"/>
        <c:txPr>
          <a:bodyPr/>
          <a:lstStyle/>
          <a:p>
            <a:pPr>
              <a:defRPr sz="900">
                <a:latin typeface="+mj-lt"/>
              </a:defRPr>
            </a:pPr>
            <a:endParaRPr lang="ru-RU"/>
          </a:p>
        </c:txPr>
        <c:crossAx val="77543680"/>
        <c:crosses val="autoZero"/>
        <c:auto val="1"/>
        <c:lblAlgn val="ctr"/>
        <c:lblOffset val="100"/>
      </c:catAx>
      <c:valAx>
        <c:axId val="77543680"/>
        <c:scaling>
          <c:orientation val="minMax"/>
        </c:scaling>
        <c:axPos val="t"/>
        <c:numFmt formatCode="#,##0" sourceLinked="0"/>
        <c:tickLblPos val="nextTo"/>
        <c:txPr>
          <a:bodyPr/>
          <a:lstStyle/>
          <a:p>
            <a:pPr>
              <a:defRPr sz="900">
                <a:latin typeface="+mj-lt"/>
              </a:defRPr>
            </a:pPr>
            <a:endParaRPr lang="ru-RU"/>
          </a:p>
        </c:txPr>
        <c:crossAx val="77542144"/>
        <c:crosses val="autoZero"/>
        <c:crossBetween val="between"/>
        <c:minorUnit val="50"/>
      </c:valAx>
      <c:spPr>
        <a:solidFill>
          <a:schemeClr val="bg1">
            <a:lumMod val="95000"/>
          </a:schemeClr>
        </a:solidFill>
      </c:spPr>
    </c:plotArea>
    <c:legend>
      <c:legendPos val="r"/>
      <c:legendEntry>
        <c:idx val="0"/>
        <c:txPr>
          <a:bodyPr/>
          <a:lstStyle/>
          <a:p>
            <a:pPr>
              <a:defRPr sz="900" i="0">
                <a:latin typeface="+mj-lt"/>
              </a:defRPr>
            </a:pPr>
            <a:endParaRPr lang="ru-RU"/>
          </a:p>
        </c:txPr>
      </c:legendEntry>
      <c:legendEntry>
        <c:idx val="1"/>
        <c:txPr>
          <a:bodyPr/>
          <a:lstStyle/>
          <a:p>
            <a:pPr>
              <a:defRPr sz="900" b="1" i="1">
                <a:latin typeface="+mj-lt"/>
              </a:defRPr>
            </a:pPr>
            <a:endParaRPr lang="ru-RU"/>
          </a:p>
        </c:txPr>
      </c:legendEntry>
      <c:layout>
        <c:manualLayout>
          <c:xMode val="edge"/>
          <c:yMode val="edge"/>
          <c:x val="1.5787223429650481E-3"/>
          <c:y val="0.91787533700932911"/>
          <c:w val="0.96380173632142485"/>
          <c:h val="7.0625613822318134E-2"/>
        </c:manualLayout>
      </c:layout>
      <c:txPr>
        <a:bodyPr/>
        <a:lstStyle/>
        <a:p>
          <a:pPr>
            <a:defRPr sz="900">
              <a:latin typeface="+mj-lt"/>
            </a:defRPr>
          </a:pPr>
          <a:endParaRPr lang="ru-RU"/>
        </a:p>
      </c:txPr>
    </c:legend>
    <c:plotVisOnly val="1"/>
    <c:dispBlanksAs val="gap"/>
  </c:chart>
  <c:spPr>
    <a:ln>
      <a:noFill/>
    </a:ln>
    <a:effectLst/>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Объем розничного товарооборота 2013-2014 гг.,</a:t>
            </a:r>
            <a:r>
              <a:rPr lang="ru-RU" sz="1200" baseline="0"/>
              <a:t> </a:t>
            </a:r>
            <a:r>
              <a:rPr lang="ru-RU" sz="1200"/>
              <a:t>в % к соответствующему периоду предыдущего года в сопоставимых ценах</a:t>
            </a:r>
          </a:p>
        </c:rich>
      </c:tx>
      <c:layout>
        <c:manualLayout>
          <c:xMode val="edge"/>
          <c:yMode val="edge"/>
          <c:x val="9.259138025095473E-2"/>
          <c:y val="1.4010510456952247E-2"/>
        </c:manualLayout>
      </c:layout>
    </c:title>
    <c:plotArea>
      <c:layout>
        <c:manualLayout>
          <c:layoutTarget val="inner"/>
          <c:xMode val="edge"/>
          <c:yMode val="edge"/>
          <c:x val="7.5564488020255172E-2"/>
          <c:y val="8.397081537647369E-2"/>
          <c:w val="0.89734410389684249"/>
          <c:h val="0.7607313437672143"/>
        </c:manualLayout>
      </c:layout>
      <c:barChart>
        <c:barDir val="bar"/>
        <c:grouping val="clustered"/>
        <c:ser>
          <c:idx val="3"/>
          <c:order val="0"/>
          <c:tx>
            <c:strRef>
              <c:f>'розничный товарооборот'!$B$7</c:f>
              <c:strCache>
                <c:ptCount val="1"/>
                <c:pt idx="0">
                  <c:v>2013 г. в сопоставимых ценах к соответствующему периоду 2012 года, в %</c:v>
                </c:pt>
              </c:strCache>
            </c:strRef>
          </c:tx>
          <c:spPr>
            <a:solidFill>
              <a:srgbClr val="0070C0"/>
            </a:solidFill>
            <a:ln>
              <a:noFill/>
            </a:ln>
          </c:spPr>
          <c:dLbls>
            <c:txPr>
              <a:bodyPr/>
              <a:lstStyle/>
              <a:p>
                <a:pPr>
                  <a:defRPr sz="1000" b="1" i="1">
                    <a:latin typeface="+mj-lt"/>
                  </a:defRPr>
                </a:pPr>
                <a:endParaRPr lang="ru-RU"/>
              </a:p>
            </c:txPr>
            <c:showVal val="1"/>
          </c:dLbls>
          <c:cat>
            <c:strRef>
              <c:f>'розничный товарооборот'!$C$2:$N$2</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'розничный товарооборот'!$C$7:$N$7</c:f>
              <c:numCache>
                <c:formatCode>General</c:formatCode>
                <c:ptCount val="12"/>
                <c:pt idx="0">
                  <c:v>120.3</c:v>
                </c:pt>
                <c:pt idx="1">
                  <c:v>119.1</c:v>
                </c:pt>
                <c:pt idx="2">
                  <c:v>118.2</c:v>
                </c:pt>
                <c:pt idx="3">
                  <c:v>117.2</c:v>
                </c:pt>
                <c:pt idx="4">
                  <c:v>119.6</c:v>
                </c:pt>
                <c:pt idx="5">
                  <c:v>120.9</c:v>
                </c:pt>
                <c:pt idx="6">
                  <c:v>120.4</c:v>
                </c:pt>
                <c:pt idx="7">
                  <c:v>118.9</c:v>
                </c:pt>
                <c:pt idx="8">
                  <c:v>116.2</c:v>
                </c:pt>
                <c:pt idx="9">
                  <c:v>115.3</c:v>
                </c:pt>
                <c:pt idx="10">
                  <c:v>114.5</c:v>
                </c:pt>
                <c:pt idx="11">
                  <c:v>118.8</c:v>
                </c:pt>
              </c:numCache>
            </c:numRef>
          </c:val>
        </c:ser>
        <c:ser>
          <c:idx val="0"/>
          <c:order val="1"/>
          <c:tx>
            <c:strRef>
              <c:f>'розничный товарооборот'!$B$8</c:f>
              <c:strCache>
                <c:ptCount val="1"/>
                <c:pt idx="0">
                  <c:v>2014 г. в сопоставимых ценах к соответствующему периоду 2012 года, в %</c:v>
                </c:pt>
              </c:strCache>
            </c:strRef>
          </c:tx>
          <c:spPr>
            <a:solidFill>
              <a:srgbClr val="C00000"/>
            </a:solidFill>
          </c:spPr>
          <c:dLbls>
            <c:txPr>
              <a:bodyPr/>
              <a:lstStyle/>
              <a:p>
                <a:pPr>
                  <a:defRPr sz="1050">
                    <a:latin typeface="+mj-lt"/>
                  </a:defRPr>
                </a:pPr>
                <a:endParaRPr lang="ru-RU"/>
              </a:p>
            </c:txPr>
            <c:showVal val="1"/>
          </c:dLbls>
          <c:cat>
            <c:strRef>
              <c:f>'розничный товарооборот'!$C$2:$N$2</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'розничный товарооборот'!$C$8:$N$8</c:f>
              <c:numCache>
                <c:formatCode>General</c:formatCode>
                <c:ptCount val="12"/>
                <c:pt idx="0">
                  <c:v>113.6</c:v>
                </c:pt>
                <c:pt idx="1">
                  <c:v>112.3</c:v>
                </c:pt>
              </c:numCache>
            </c:numRef>
          </c:val>
        </c:ser>
        <c:overlap val="-42"/>
        <c:axId val="77600640"/>
        <c:axId val="77599104"/>
      </c:barChart>
      <c:valAx>
        <c:axId val="77599104"/>
        <c:scaling>
          <c:orientation val="minMax"/>
          <c:min val="100"/>
        </c:scaling>
        <c:axPos val="b"/>
        <c:numFmt formatCode="#,##0" sourceLinked="0"/>
        <c:tickLblPos val="nextTo"/>
        <c:txPr>
          <a:bodyPr/>
          <a:lstStyle/>
          <a:p>
            <a:pPr>
              <a:defRPr sz="1200">
                <a:latin typeface="+mj-lt"/>
              </a:defRPr>
            </a:pPr>
            <a:endParaRPr lang="ru-RU"/>
          </a:p>
        </c:txPr>
        <c:crossAx val="77600640"/>
        <c:crosses val="max"/>
        <c:crossBetween val="between"/>
      </c:valAx>
      <c:catAx>
        <c:axId val="77600640"/>
        <c:scaling>
          <c:orientation val="maxMin"/>
        </c:scaling>
        <c:axPos val="l"/>
        <c:majorGridlines/>
        <c:numFmt formatCode="mmm/yy" sourceLinked="1"/>
        <c:tickLblPos val="low"/>
        <c:txPr>
          <a:bodyPr/>
          <a:lstStyle/>
          <a:p>
            <a:pPr>
              <a:defRPr sz="900">
                <a:latin typeface="+mj-lt"/>
              </a:defRPr>
            </a:pPr>
            <a:endParaRPr lang="ru-RU"/>
          </a:p>
        </c:txPr>
        <c:crossAx val="77599104"/>
        <c:crossesAt val="100"/>
        <c:auto val="1"/>
        <c:lblAlgn val="ctr"/>
        <c:lblOffset val="100"/>
      </c:catAx>
      <c:spPr>
        <a:solidFill>
          <a:schemeClr val="bg1">
            <a:lumMod val="95000"/>
          </a:schemeClr>
        </a:solidFill>
      </c:spPr>
    </c:plotArea>
    <c:legend>
      <c:legendPos val="r"/>
      <c:legendEntry>
        <c:idx val="0"/>
        <c:txPr>
          <a:bodyPr/>
          <a:lstStyle/>
          <a:p>
            <a:pPr>
              <a:defRPr sz="900" b="1" i="1">
                <a:latin typeface="+mj-lt"/>
              </a:defRPr>
            </a:pPr>
            <a:endParaRPr lang="ru-RU"/>
          </a:p>
        </c:txPr>
      </c:legendEntry>
      <c:layout>
        <c:manualLayout>
          <c:xMode val="edge"/>
          <c:yMode val="edge"/>
          <c:x val="4.5953302615637324E-3"/>
          <c:y val="0.90434226438418763"/>
          <c:w val="0.95764705882353274"/>
          <c:h val="7.7520469781015844E-2"/>
        </c:manualLayout>
      </c:layout>
      <c:txPr>
        <a:bodyPr/>
        <a:lstStyle/>
        <a:p>
          <a:pPr>
            <a:defRPr sz="900">
              <a:latin typeface="+mj-lt"/>
            </a:defRPr>
          </a:pPr>
          <a:endParaRPr lang="ru-RU"/>
        </a:p>
      </c:txPr>
    </c:legend>
    <c:plotVisOnly val="1"/>
    <c:dispBlanksAs val="gap"/>
  </c:chart>
  <c:spPr>
    <a:ln>
      <a:noFill/>
    </a:ln>
    <a:effectLst/>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Индекс потребительских</a:t>
            </a:r>
            <a:r>
              <a:rPr lang="ru-RU" sz="1200" baseline="0"/>
              <a:t> цен 2013- 2014 гг.  нарастающим итогом, в % к декабрю предыдущего года</a:t>
            </a:r>
            <a:endParaRPr lang="ru-RU" sz="1200"/>
          </a:p>
        </c:rich>
      </c:tx>
      <c:layout>
        <c:manualLayout>
          <c:xMode val="edge"/>
          <c:yMode val="edge"/>
          <c:x val="0.1417910539057019"/>
          <c:y val="1.7871295180219279E-2"/>
        </c:manualLayout>
      </c:layout>
    </c:title>
    <c:plotArea>
      <c:layout>
        <c:manualLayout>
          <c:layoutTarget val="inner"/>
          <c:xMode val="edge"/>
          <c:yMode val="edge"/>
          <c:x val="4.9920916186622394E-2"/>
          <c:y val="0.10915883281867959"/>
          <c:w val="0.92767897736632365"/>
          <c:h val="0.55608862554399263"/>
        </c:manualLayout>
      </c:layout>
      <c:lineChart>
        <c:grouping val="standard"/>
        <c:ser>
          <c:idx val="0"/>
          <c:order val="0"/>
          <c:tx>
            <c:strRef>
              <c:f>'Индексы цен нарастающим итогом'!$B$7</c:f>
              <c:strCache>
                <c:ptCount val="1"/>
                <c:pt idx="0">
                  <c:v>Индекс потребительских цен к декабрю предыдущего года нарастающим итогом, 2013 год, в %</c:v>
                </c:pt>
              </c:strCache>
            </c:strRef>
          </c:tx>
          <c:dLbls>
            <c:txPr>
              <a:bodyPr/>
              <a:lstStyle/>
              <a:p>
                <a:pPr>
                  <a:defRPr sz="1000">
                    <a:latin typeface="+mj-lt"/>
                  </a:defRPr>
                </a:pPr>
                <a:endParaRPr lang="ru-RU"/>
              </a:p>
            </c:txPr>
            <c:dLblPos val="t"/>
            <c:showVal val="1"/>
          </c:dLbls>
          <c:cat>
            <c:strRef>
              <c:f>'Индексы цен нарастающим итогом'!$C$5:$N$5</c:f>
              <c:strCache>
                <c:ptCount val="12"/>
                <c:pt idx="0">
                  <c:v>Январь</c:v>
                </c:pt>
                <c:pt idx="1">
                  <c:v>Январь-февраль</c:v>
                </c:pt>
                <c:pt idx="2">
                  <c:v>Январь-март</c:v>
                </c:pt>
                <c:pt idx="3">
                  <c:v>Январь-апрель</c:v>
                </c:pt>
                <c:pt idx="4">
                  <c:v>Январь-май</c:v>
                </c:pt>
                <c:pt idx="5">
                  <c:v>Январь-июнь</c:v>
                </c:pt>
                <c:pt idx="6">
                  <c:v>Январь-июль</c:v>
                </c:pt>
                <c:pt idx="7">
                  <c:v>Январь-август</c:v>
                </c:pt>
                <c:pt idx="8">
                  <c:v>Январь-сентябрь</c:v>
                </c:pt>
                <c:pt idx="9">
                  <c:v>Январь-октябрь</c:v>
                </c:pt>
                <c:pt idx="10">
                  <c:v>Январь-ноябрь</c:v>
                </c:pt>
                <c:pt idx="11">
                  <c:v>Январь-декабрь</c:v>
                </c:pt>
              </c:strCache>
            </c:strRef>
          </c:cat>
          <c:val>
            <c:numRef>
              <c:f>'Индексы цен нарастающим итогом'!$C$7:$N$7</c:f>
              <c:numCache>
                <c:formatCode>#,##0.0</c:formatCode>
                <c:ptCount val="12"/>
                <c:pt idx="0">
                  <c:v>103</c:v>
                </c:pt>
                <c:pt idx="1">
                  <c:v>104.3</c:v>
                </c:pt>
                <c:pt idx="2">
                  <c:v>105.4</c:v>
                </c:pt>
                <c:pt idx="3">
                  <c:v>105.9</c:v>
                </c:pt>
                <c:pt idx="4">
                  <c:v>106.6</c:v>
                </c:pt>
                <c:pt idx="5">
                  <c:v>107</c:v>
                </c:pt>
                <c:pt idx="6">
                  <c:v>108</c:v>
                </c:pt>
                <c:pt idx="7">
                  <c:v>108.2</c:v>
                </c:pt>
                <c:pt idx="8">
                  <c:v>110</c:v>
                </c:pt>
                <c:pt idx="9">
                  <c:v>112</c:v>
                </c:pt>
                <c:pt idx="10">
                  <c:v>113.8</c:v>
                </c:pt>
                <c:pt idx="11">
                  <c:v>116.5</c:v>
                </c:pt>
              </c:numCache>
            </c:numRef>
          </c:val>
        </c:ser>
        <c:ser>
          <c:idx val="1"/>
          <c:order val="1"/>
          <c:tx>
            <c:strRef>
              <c:f>'Индексы цен нарастающим итогом'!$B$8</c:f>
              <c:strCache>
                <c:ptCount val="1"/>
                <c:pt idx="0">
                  <c:v>Индекс потребительских цен к декабрю предыдущего года нарастающим итогом, 2014 год, в %</c:v>
                </c:pt>
              </c:strCache>
            </c:strRef>
          </c:tx>
          <c:dLbls>
            <c:dLbl>
              <c:idx val="0"/>
              <c:layout>
                <c:manualLayout>
                  <c:x val="0"/>
                  <c:y val="2.3486518137556176E-2"/>
                </c:manualLayout>
              </c:layout>
              <c:showVal val="1"/>
            </c:dLbl>
            <c:dLbl>
              <c:idx val="2"/>
              <c:layout>
                <c:manualLayout>
                  <c:x val="-1.1136690747228723E-3"/>
                  <c:y val="1.8945482016072546E-2"/>
                </c:manualLayout>
              </c:layout>
              <c:showVal val="1"/>
            </c:dLbl>
            <c:dLbl>
              <c:idx val="3"/>
              <c:layout>
                <c:manualLayout>
                  <c:x val="-2.8486987028099257E-2"/>
                  <c:y val="2.7337289979440051E-2"/>
                </c:manualLayout>
              </c:layout>
              <c:showVal val="1"/>
            </c:dLbl>
            <c:dLbl>
              <c:idx val="4"/>
              <c:layout>
                <c:manualLayout>
                  <c:x val="-2.6114127042915772E-2"/>
                  <c:y val="2.3422870289847381E-2"/>
                </c:manualLayout>
              </c:layout>
              <c:showVal val="1"/>
            </c:dLbl>
            <c:txPr>
              <a:bodyPr/>
              <a:lstStyle/>
              <a:p>
                <a:pPr>
                  <a:defRPr sz="1050" b="1">
                    <a:latin typeface="+mj-lt"/>
                  </a:defRPr>
                </a:pPr>
                <a:endParaRPr lang="ru-RU"/>
              </a:p>
            </c:txPr>
            <c:showVal val="1"/>
          </c:dLbls>
          <c:cat>
            <c:strRef>
              <c:f>'Индексы цен нарастающим итогом'!$C$5:$N$5</c:f>
              <c:strCache>
                <c:ptCount val="12"/>
                <c:pt idx="0">
                  <c:v>Январь</c:v>
                </c:pt>
                <c:pt idx="1">
                  <c:v>Январь-февраль</c:v>
                </c:pt>
                <c:pt idx="2">
                  <c:v>Январь-март</c:v>
                </c:pt>
                <c:pt idx="3">
                  <c:v>Январь-апрель</c:v>
                </c:pt>
                <c:pt idx="4">
                  <c:v>Январь-май</c:v>
                </c:pt>
                <c:pt idx="5">
                  <c:v>Январь-июнь</c:v>
                </c:pt>
                <c:pt idx="6">
                  <c:v>Январь-июль</c:v>
                </c:pt>
                <c:pt idx="7">
                  <c:v>Январь-август</c:v>
                </c:pt>
                <c:pt idx="8">
                  <c:v>Январь-сентябрь</c:v>
                </c:pt>
                <c:pt idx="9">
                  <c:v>Январь-октябрь</c:v>
                </c:pt>
                <c:pt idx="10">
                  <c:v>Январь-ноябрь</c:v>
                </c:pt>
                <c:pt idx="11">
                  <c:v>Январь-декабрь</c:v>
                </c:pt>
              </c:strCache>
            </c:strRef>
          </c:cat>
          <c:val>
            <c:numRef>
              <c:f>'Индексы цен нарастающим итогом'!$C$8:$N$8</c:f>
              <c:numCache>
                <c:formatCode>#,##0.0</c:formatCode>
                <c:ptCount val="12"/>
                <c:pt idx="0">
                  <c:v>101.6</c:v>
                </c:pt>
                <c:pt idx="1">
                  <c:v>103.6</c:v>
                </c:pt>
                <c:pt idx="2">
                  <c:v>104.9</c:v>
                </c:pt>
              </c:numCache>
            </c:numRef>
          </c:val>
        </c:ser>
        <c:marker val="1"/>
        <c:axId val="77622656"/>
        <c:axId val="77649024"/>
      </c:lineChart>
      <c:catAx>
        <c:axId val="77622656"/>
        <c:scaling>
          <c:orientation val="minMax"/>
        </c:scaling>
        <c:axPos val="b"/>
        <c:majorGridlines/>
        <c:tickLblPos val="low"/>
        <c:txPr>
          <a:bodyPr/>
          <a:lstStyle/>
          <a:p>
            <a:pPr>
              <a:defRPr sz="900">
                <a:latin typeface="+mj-lt"/>
              </a:defRPr>
            </a:pPr>
            <a:endParaRPr lang="ru-RU"/>
          </a:p>
        </c:txPr>
        <c:crossAx val="77649024"/>
        <c:crosses val="autoZero"/>
        <c:auto val="1"/>
        <c:lblAlgn val="ctr"/>
        <c:lblOffset val="100"/>
      </c:catAx>
      <c:valAx>
        <c:axId val="77649024"/>
        <c:scaling>
          <c:orientation val="minMax"/>
          <c:max val="120"/>
          <c:min val="100"/>
        </c:scaling>
        <c:axPos val="l"/>
        <c:majorGridlines/>
        <c:numFmt formatCode="#,##0" sourceLinked="0"/>
        <c:tickLblPos val="nextTo"/>
        <c:txPr>
          <a:bodyPr/>
          <a:lstStyle/>
          <a:p>
            <a:pPr>
              <a:defRPr sz="900">
                <a:latin typeface="+mj-lt"/>
              </a:defRPr>
            </a:pPr>
            <a:endParaRPr lang="ru-RU"/>
          </a:p>
        </c:txPr>
        <c:crossAx val="77622656"/>
        <c:crosses val="autoZero"/>
        <c:crossBetween val="between"/>
        <c:majorUnit val="2"/>
        <c:minorUnit val="1"/>
      </c:valAx>
      <c:spPr>
        <a:solidFill>
          <a:schemeClr val="bg1">
            <a:lumMod val="95000"/>
          </a:schemeClr>
        </a:solidFill>
      </c:spPr>
    </c:plotArea>
    <c:legend>
      <c:legendPos val="r"/>
      <c:legendEntry>
        <c:idx val="1"/>
        <c:txPr>
          <a:bodyPr/>
          <a:lstStyle/>
          <a:p>
            <a:pPr>
              <a:defRPr sz="1000" b="1">
                <a:latin typeface="+mj-lt"/>
              </a:defRPr>
            </a:pPr>
            <a:endParaRPr lang="ru-RU"/>
          </a:p>
        </c:txPr>
      </c:legendEntry>
      <c:layout>
        <c:manualLayout>
          <c:xMode val="edge"/>
          <c:yMode val="edge"/>
          <c:x val="2.2363854576188887E-2"/>
          <c:y val="0.82689989210688919"/>
          <c:w val="0.83161249341183563"/>
          <c:h val="0.11909398640812421"/>
        </c:manualLayout>
      </c:layout>
      <c:txPr>
        <a:bodyPr/>
        <a:lstStyle/>
        <a:p>
          <a:pPr>
            <a:defRPr sz="1000">
              <a:latin typeface="+mj-lt"/>
            </a:defRPr>
          </a:pPr>
          <a:endParaRPr lang="ru-RU"/>
        </a:p>
      </c:txPr>
    </c:legend>
    <c:plotVisOnly val="1"/>
    <c:dispBlanksAs val="gap"/>
  </c:chart>
  <c:spPr>
    <a:ln>
      <a:noFill/>
    </a:ln>
    <a:effectLst/>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Индекс </a:t>
            </a:r>
            <a:r>
              <a:rPr lang="ru-RU" sz="1200" baseline="0"/>
              <a:t>цен производителей промышленной продукции 2013-2014 гг. нарастающим итогом, в % к декабрю предыдущего года</a:t>
            </a:r>
            <a:endParaRPr lang="ru-RU" sz="1200"/>
          </a:p>
        </c:rich>
      </c:tx>
      <c:layout>
        <c:manualLayout>
          <c:xMode val="edge"/>
          <c:yMode val="edge"/>
          <c:x val="0.17094044776407263"/>
          <c:y val="1.0096120578921097E-2"/>
        </c:manualLayout>
      </c:layout>
    </c:title>
    <c:plotArea>
      <c:layout>
        <c:manualLayout>
          <c:layoutTarget val="inner"/>
          <c:xMode val="edge"/>
          <c:yMode val="edge"/>
          <c:x val="4.9920916186622394E-2"/>
          <c:y val="0.10524441312908692"/>
          <c:w val="0.93372056194969333"/>
          <c:h val="0.58740398306072983"/>
        </c:manualLayout>
      </c:layout>
      <c:lineChart>
        <c:grouping val="standard"/>
        <c:ser>
          <c:idx val="0"/>
          <c:order val="0"/>
          <c:tx>
            <c:strRef>
              <c:f>'Индексы цен нарастающим итогом'!$B$11</c:f>
              <c:strCache>
                <c:ptCount val="1"/>
                <c:pt idx="0">
                  <c:v>Индекс цен производителей промышленной продукции, к декабрю  предыдущего года, 2013 год, в %</c:v>
                </c:pt>
              </c:strCache>
            </c:strRef>
          </c:tx>
          <c:dLbls>
            <c:dLbl>
              <c:idx val="0"/>
              <c:layout>
                <c:manualLayout>
                  <c:x val="-3.9202518363064015E-2"/>
                  <c:y val="2.1465660445051042E-2"/>
                </c:manualLayout>
              </c:layout>
              <c:dLblPos val="r"/>
              <c:showVal val="1"/>
            </c:dLbl>
            <c:txPr>
              <a:bodyPr/>
              <a:lstStyle/>
              <a:p>
                <a:pPr>
                  <a:defRPr sz="1000">
                    <a:latin typeface="+mj-lt"/>
                  </a:defRPr>
                </a:pPr>
                <a:endParaRPr lang="ru-RU"/>
              </a:p>
            </c:txPr>
            <c:dLblPos val="t"/>
            <c:showVal val="1"/>
          </c:dLbls>
          <c:cat>
            <c:strRef>
              <c:f>'Индексы цен нарастающим итогом'!$C$5:$N$5</c:f>
              <c:strCache>
                <c:ptCount val="12"/>
                <c:pt idx="0">
                  <c:v>Январь</c:v>
                </c:pt>
                <c:pt idx="1">
                  <c:v>Январь-февраль</c:v>
                </c:pt>
                <c:pt idx="2">
                  <c:v>Январь-март</c:v>
                </c:pt>
                <c:pt idx="3">
                  <c:v>Январь-апрель</c:v>
                </c:pt>
                <c:pt idx="4">
                  <c:v>Январь-май</c:v>
                </c:pt>
                <c:pt idx="5">
                  <c:v>Январь-июнь</c:v>
                </c:pt>
                <c:pt idx="6">
                  <c:v>Январь-июль</c:v>
                </c:pt>
                <c:pt idx="7">
                  <c:v>Январь-август</c:v>
                </c:pt>
                <c:pt idx="8">
                  <c:v>Январь-сентябрь</c:v>
                </c:pt>
                <c:pt idx="9">
                  <c:v>Январь-октябрь</c:v>
                </c:pt>
                <c:pt idx="10">
                  <c:v>Январь-ноябрь</c:v>
                </c:pt>
                <c:pt idx="11">
                  <c:v>Январь-декабрь</c:v>
                </c:pt>
              </c:strCache>
            </c:strRef>
          </c:cat>
          <c:val>
            <c:numRef>
              <c:f>'Индексы цен нарастающим итогом'!$C$11:$N$11</c:f>
              <c:numCache>
                <c:formatCode>#,##0.0</c:formatCode>
                <c:ptCount val="12"/>
                <c:pt idx="0">
                  <c:v>101.2</c:v>
                </c:pt>
                <c:pt idx="1">
                  <c:v>102.4</c:v>
                </c:pt>
                <c:pt idx="2">
                  <c:v>103</c:v>
                </c:pt>
                <c:pt idx="3">
                  <c:v>103.7</c:v>
                </c:pt>
                <c:pt idx="4">
                  <c:v>104.1</c:v>
                </c:pt>
                <c:pt idx="5">
                  <c:v>104.3</c:v>
                </c:pt>
                <c:pt idx="6">
                  <c:v>105.1</c:v>
                </c:pt>
                <c:pt idx="7">
                  <c:v>106.1</c:v>
                </c:pt>
                <c:pt idx="8">
                  <c:v>106.3</c:v>
                </c:pt>
                <c:pt idx="9">
                  <c:v>108.4</c:v>
                </c:pt>
                <c:pt idx="10">
                  <c:v>109.4</c:v>
                </c:pt>
                <c:pt idx="11">
                  <c:v>110.7</c:v>
                </c:pt>
              </c:numCache>
            </c:numRef>
          </c:val>
        </c:ser>
        <c:ser>
          <c:idx val="1"/>
          <c:order val="1"/>
          <c:tx>
            <c:strRef>
              <c:f>'Индексы цен нарастающим итогом'!$B$12</c:f>
              <c:strCache>
                <c:ptCount val="1"/>
                <c:pt idx="0">
                  <c:v>Индекс цен производителей промышленной продукции, к декабрю  предыдущего года, 2014 год, в %</c:v>
                </c:pt>
              </c:strCache>
            </c:strRef>
          </c:tx>
          <c:dLbls>
            <c:dLbl>
              <c:idx val="0"/>
              <c:layout>
                <c:manualLayout>
                  <c:x val="-3.4977264777894451E-2"/>
                  <c:y val="-3.522977720633421E-2"/>
                </c:manualLayout>
              </c:layout>
              <c:showVal val="1"/>
            </c:dLbl>
            <c:dLbl>
              <c:idx val="1"/>
              <c:layout>
                <c:manualLayout>
                  <c:x val="-2.7981811822315659E-2"/>
                  <c:y val="2.34865181375561E-2"/>
                </c:manualLayout>
              </c:layout>
              <c:showVal val="1"/>
            </c:dLbl>
            <c:dLbl>
              <c:idx val="2"/>
              <c:layout>
                <c:manualLayout>
                  <c:x val="1.2869367308463027E-2"/>
                  <c:y val="1.1795342449595493E-2"/>
                </c:manualLayout>
              </c:layout>
              <c:showVal val="1"/>
            </c:dLbl>
            <c:txPr>
              <a:bodyPr/>
              <a:lstStyle/>
              <a:p>
                <a:pPr>
                  <a:defRPr sz="1050" b="1">
                    <a:latin typeface="+mj-lt"/>
                  </a:defRPr>
                </a:pPr>
                <a:endParaRPr lang="ru-RU"/>
              </a:p>
            </c:txPr>
            <c:showVal val="1"/>
          </c:dLbls>
          <c:cat>
            <c:strRef>
              <c:f>'Индексы цен нарастающим итогом'!$C$5:$N$5</c:f>
              <c:strCache>
                <c:ptCount val="12"/>
                <c:pt idx="0">
                  <c:v>Январь</c:v>
                </c:pt>
                <c:pt idx="1">
                  <c:v>Январь-февраль</c:v>
                </c:pt>
                <c:pt idx="2">
                  <c:v>Январь-март</c:v>
                </c:pt>
                <c:pt idx="3">
                  <c:v>Январь-апрель</c:v>
                </c:pt>
                <c:pt idx="4">
                  <c:v>Январь-май</c:v>
                </c:pt>
                <c:pt idx="5">
                  <c:v>Январь-июнь</c:v>
                </c:pt>
                <c:pt idx="6">
                  <c:v>Январь-июль</c:v>
                </c:pt>
                <c:pt idx="7">
                  <c:v>Январь-август</c:v>
                </c:pt>
                <c:pt idx="8">
                  <c:v>Январь-сентябрь</c:v>
                </c:pt>
                <c:pt idx="9">
                  <c:v>Январь-октябрь</c:v>
                </c:pt>
                <c:pt idx="10">
                  <c:v>Январь-ноябрь</c:v>
                </c:pt>
                <c:pt idx="11">
                  <c:v>Январь-декабрь</c:v>
                </c:pt>
              </c:strCache>
            </c:strRef>
          </c:cat>
          <c:val>
            <c:numRef>
              <c:f>'Индексы цен нарастающим итогом'!$C$12:$N$12</c:f>
              <c:numCache>
                <c:formatCode>#,##0.0</c:formatCode>
                <c:ptCount val="12"/>
                <c:pt idx="0">
                  <c:v>101.3</c:v>
                </c:pt>
                <c:pt idx="1">
                  <c:v>102.2</c:v>
                </c:pt>
                <c:pt idx="2">
                  <c:v>103</c:v>
                </c:pt>
              </c:numCache>
            </c:numRef>
          </c:val>
        </c:ser>
        <c:marker val="1"/>
        <c:axId val="83069568"/>
        <c:axId val="83083648"/>
      </c:lineChart>
      <c:catAx>
        <c:axId val="83069568"/>
        <c:scaling>
          <c:orientation val="minMax"/>
        </c:scaling>
        <c:axPos val="b"/>
        <c:majorGridlines/>
        <c:tickLblPos val="low"/>
        <c:txPr>
          <a:bodyPr/>
          <a:lstStyle/>
          <a:p>
            <a:pPr>
              <a:defRPr sz="900">
                <a:latin typeface="+mj-lt"/>
              </a:defRPr>
            </a:pPr>
            <a:endParaRPr lang="ru-RU"/>
          </a:p>
        </c:txPr>
        <c:crossAx val="83083648"/>
        <c:crosses val="autoZero"/>
        <c:auto val="1"/>
        <c:lblAlgn val="ctr"/>
        <c:lblOffset val="100"/>
      </c:catAx>
      <c:valAx>
        <c:axId val="83083648"/>
        <c:scaling>
          <c:orientation val="minMax"/>
          <c:max val="115"/>
          <c:min val="100"/>
        </c:scaling>
        <c:axPos val="l"/>
        <c:majorGridlines/>
        <c:numFmt formatCode="#,##0" sourceLinked="0"/>
        <c:tickLblPos val="nextTo"/>
        <c:txPr>
          <a:bodyPr/>
          <a:lstStyle/>
          <a:p>
            <a:pPr>
              <a:defRPr sz="900">
                <a:latin typeface="+mj-lt"/>
              </a:defRPr>
            </a:pPr>
            <a:endParaRPr lang="ru-RU"/>
          </a:p>
        </c:txPr>
        <c:crossAx val="83069568"/>
        <c:crosses val="autoZero"/>
        <c:crossBetween val="between"/>
        <c:majorUnit val="3"/>
        <c:minorUnit val="1"/>
      </c:valAx>
      <c:spPr>
        <a:solidFill>
          <a:schemeClr val="bg1">
            <a:lumMod val="95000"/>
          </a:schemeClr>
        </a:solidFill>
      </c:spPr>
    </c:plotArea>
    <c:legend>
      <c:legendPos val="r"/>
      <c:legendEntry>
        <c:idx val="1"/>
        <c:txPr>
          <a:bodyPr/>
          <a:lstStyle/>
          <a:p>
            <a:pPr>
              <a:defRPr sz="1000" b="1">
                <a:latin typeface="+mj-lt"/>
              </a:defRPr>
            </a:pPr>
            <a:endParaRPr lang="ru-RU"/>
          </a:p>
        </c:txPr>
      </c:legendEntry>
      <c:layout>
        <c:manualLayout>
          <c:xMode val="edge"/>
          <c:yMode val="edge"/>
          <c:x val="5.3301068985505878E-2"/>
          <c:y val="0.84816004267375422"/>
          <c:w val="0.92527159708394269"/>
          <c:h val="0.12466624366484094"/>
        </c:manualLayout>
      </c:layout>
      <c:txPr>
        <a:bodyPr/>
        <a:lstStyle/>
        <a:p>
          <a:pPr>
            <a:defRPr sz="1000">
              <a:latin typeface="+mj-lt"/>
            </a:defRPr>
          </a:pPr>
          <a:endParaRPr lang="ru-RU"/>
        </a:p>
      </c:txPr>
    </c:legend>
    <c:plotVisOnly val="1"/>
    <c:dispBlanksAs val="gap"/>
  </c:chart>
  <c:spPr>
    <a:ln>
      <a:noFill/>
    </a:ln>
    <a:effectLst/>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Индексы потребительских цен 2013-2014</a:t>
            </a:r>
            <a:r>
              <a:rPr lang="ru-RU" sz="1200" baseline="0"/>
              <a:t> гг.</a:t>
            </a:r>
            <a:r>
              <a:rPr lang="ru-RU" sz="1200"/>
              <a:t>, в % к предыдущему месяцу</a:t>
            </a:r>
          </a:p>
        </c:rich>
      </c:tx>
      <c:layout>
        <c:manualLayout>
          <c:xMode val="edge"/>
          <c:yMode val="edge"/>
          <c:x val="0.21639409783274802"/>
          <c:y val="3.2343814609756716E-2"/>
        </c:manualLayout>
      </c:layout>
    </c:title>
    <c:plotArea>
      <c:layout>
        <c:manualLayout>
          <c:layoutTarget val="inner"/>
          <c:xMode val="edge"/>
          <c:yMode val="edge"/>
          <c:x val="5.1260924042786322E-2"/>
          <c:y val="0.10763968468356803"/>
          <c:w val="0.93314921062003431"/>
          <c:h val="0.70172718981446347"/>
        </c:manualLayout>
      </c:layout>
      <c:lineChart>
        <c:grouping val="standard"/>
        <c:ser>
          <c:idx val="0"/>
          <c:order val="0"/>
          <c:tx>
            <c:strRef>
              <c:f>'Индексы цен помесячно'!$B$4</c:f>
              <c:strCache>
                <c:ptCount val="1"/>
                <c:pt idx="0">
                  <c:v>Индекс потребительских цен, в процентах к предыдущему месяцу,2013 год, в %</c:v>
                </c:pt>
              </c:strCache>
            </c:strRef>
          </c:tx>
          <c:dLbls>
            <c:dLbl>
              <c:idx val="2"/>
              <c:layout>
                <c:manualLayout>
                  <c:x val="-3.7547738693467454E-2"/>
                  <c:y val="2.8908974303015665E-2"/>
                </c:manualLayout>
              </c:layout>
              <c:dLblPos val="r"/>
              <c:showVal val="1"/>
            </c:dLbl>
            <c:dLbl>
              <c:idx val="9"/>
              <c:layout>
                <c:manualLayout>
                  <c:x val="-2.6730961504590402E-2"/>
                  <c:y val="2.5046069699878191E-2"/>
                </c:manualLayout>
              </c:layout>
              <c:dLblPos val="r"/>
              <c:showVal val="1"/>
            </c:dLbl>
            <c:txPr>
              <a:bodyPr/>
              <a:lstStyle/>
              <a:p>
                <a:pPr>
                  <a:defRPr sz="1000">
                    <a:latin typeface="+mj-lt"/>
                  </a:defRPr>
                </a:pPr>
                <a:endParaRPr lang="ru-RU"/>
              </a:p>
            </c:txPr>
            <c:dLblPos val="t"/>
            <c:showVal val="1"/>
          </c:dLbls>
          <c:cat>
            <c:strRef>
              <c:f>'Индексы цен помесячно'!$C$2:$N$2</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'Индексы цен помесячно'!$C$4:$N$4</c:f>
              <c:numCache>
                <c:formatCode>#,##0.0</c:formatCode>
                <c:ptCount val="12"/>
                <c:pt idx="0">
                  <c:v>103</c:v>
                </c:pt>
                <c:pt idx="1">
                  <c:v>101.2</c:v>
                </c:pt>
                <c:pt idx="2">
                  <c:v>101.1</c:v>
                </c:pt>
                <c:pt idx="3">
                  <c:v>100.5</c:v>
                </c:pt>
                <c:pt idx="4">
                  <c:v>100.7</c:v>
                </c:pt>
                <c:pt idx="5">
                  <c:v>100.3</c:v>
                </c:pt>
                <c:pt idx="6">
                  <c:v>101</c:v>
                </c:pt>
                <c:pt idx="7">
                  <c:v>100.1</c:v>
                </c:pt>
                <c:pt idx="8">
                  <c:v>101.7</c:v>
                </c:pt>
                <c:pt idx="9">
                  <c:v>101.9</c:v>
                </c:pt>
                <c:pt idx="10">
                  <c:v>101.6</c:v>
                </c:pt>
                <c:pt idx="11">
                  <c:v>102.4</c:v>
                </c:pt>
              </c:numCache>
            </c:numRef>
          </c:val>
        </c:ser>
        <c:ser>
          <c:idx val="1"/>
          <c:order val="1"/>
          <c:tx>
            <c:strRef>
              <c:f>'Индексы цен помесячно'!$B$5</c:f>
              <c:strCache>
                <c:ptCount val="1"/>
                <c:pt idx="0">
                  <c:v>Индекс потребительских цен, в процентах к предыдущему месяцу,2014 год, в %</c:v>
                </c:pt>
              </c:strCache>
            </c:strRef>
          </c:tx>
          <c:dLbls>
            <c:dLbl>
              <c:idx val="0"/>
              <c:layout>
                <c:manualLayout>
                  <c:x val="-3.2160804020100506E-2"/>
                  <c:y val="-3.0903236825100093E-2"/>
                </c:manualLayout>
              </c:layout>
              <c:showVal val="1"/>
            </c:dLbl>
            <c:dLbl>
              <c:idx val="1"/>
              <c:layout>
                <c:manualLayout>
                  <c:x val="-2.9480737018425615E-2"/>
                  <c:y val="-3.0903236825100093E-2"/>
                </c:manualLayout>
              </c:layout>
              <c:showVal val="1"/>
            </c:dLbl>
            <c:dLbl>
              <c:idx val="2"/>
              <c:layout>
                <c:manualLayout>
                  <c:x val="-2.2529465940649807E-2"/>
                  <c:y val="-1.9983231344033944E-2"/>
                </c:manualLayout>
              </c:layout>
              <c:showVal val="1"/>
            </c:dLbl>
            <c:dLbl>
              <c:idx val="6"/>
              <c:layout>
                <c:manualLayout>
                  <c:x val="-3.6064582836236377E-2"/>
                  <c:y val="3.0727374035289808E-2"/>
                </c:manualLayout>
              </c:layout>
              <c:showVal val="1"/>
            </c:dLbl>
            <c:dLbl>
              <c:idx val="10"/>
              <c:layout>
                <c:manualLayout>
                  <c:x val="-3.7768392766196444E-2"/>
                  <c:y val="3.0275590868519893E-2"/>
                </c:manualLayout>
              </c:layout>
              <c:showVal val="1"/>
            </c:dLbl>
            <c:txPr>
              <a:bodyPr/>
              <a:lstStyle/>
              <a:p>
                <a:pPr>
                  <a:defRPr sz="1050" b="1" i="1">
                    <a:latin typeface="+mj-lt"/>
                  </a:defRPr>
                </a:pPr>
                <a:endParaRPr lang="ru-RU"/>
              </a:p>
            </c:txPr>
            <c:showVal val="1"/>
          </c:dLbls>
          <c:cat>
            <c:strRef>
              <c:f>'Индексы цен помесячно'!$C$2:$N$2</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'Индексы цен помесячно'!$C$5:$N$5</c:f>
              <c:numCache>
                <c:formatCode>#,##0.0</c:formatCode>
                <c:ptCount val="12"/>
                <c:pt idx="0">
                  <c:v>101.6</c:v>
                </c:pt>
                <c:pt idx="1">
                  <c:v>102</c:v>
                </c:pt>
                <c:pt idx="2">
                  <c:v>101.3</c:v>
                </c:pt>
              </c:numCache>
            </c:numRef>
          </c:val>
        </c:ser>
        <c:marker val="1"/>
        <c:axId val="77559680"/>
        <c:axId val="77561216"/>
      </c:lineChart>
      <c:catAx>
        <c:axId val="77559680"/>
        <c:scaling>
          <c:orientation val="minMax"/>
        </c:scaling>
        <c:axPos val="b"/>
        <c:majorGridlines/>
        <c:numFmt formatCode="mmm/yy" sourceLinked="1"/>
        <c:tickLblPos val="low"/>
        <c:txPr>
          <a:bodyPr/>
          <a:lstStyle/>
          <a:p>
            <a:pPr>
              <a:defRPr sz="900">
                <a:latin typeface="+mj-lt"/>
              </a:defRPr>
            </a:pPr>
            <a:endParaRPr lang="ru-RU"/>
          </a:p>
        </c:txPr>
        <c:crossAx val="77561216"/>
        <c:crosses val="autoZero"/>
        <c:auto val="1"/>
        <c:lblAlgn val="ctr"/>
        <c:lblOffset val="100"/>
      </c:catAx>
      <c:valAx>
        <c:axId val="77561216"/>
        <c:scaling>
          <c:orientation val="minMax"/>
          <c:max val="104"/>
          <c:min val="100"/>
        </c:scaling>
        <c:axPos val="l"/>
        <c:majorGridlines/>
        <c:numFmt formatCode="#,##0" sourceLinked="0"/>
        <c:tickLblPos val="nextTo"/>
        <c:txPr>
          <a:bodyPr/>
          <a:lstStyle/>
          <a:p>
            <a:pPr>
              <a:defRPr sz="900">
                <a:latin typeface="+mj-lt"/>
              </a:defRPr>
            </a:pPr>
            <a:endParaRPr lang="ru-RU"/>
          </a:p>
        </c:txPr>
        <c:crossAx val="77559680"/>
        <c:crosses val="autoZero"/>
        <c:crossBetween val="between"/>
        <c:majorUnit val="1"/>
        <c:minorUnit val="0.5"/>
      </c:valAx>
      <c:spPr>
        <a:solidFill>
          <a:schemeClr val="bg1">
            <a:lumMod val="95000"/>
          </a:schemeClr>
        </a:solidFill>
      </c:spPr>
    </c:plotArea>
    <c:legend>
      <c:legendPos val="r"/>
      <c:legendEntry>
        <c:idx val="1"/>
        <c:txPr>
          <a:bodyPr/>
          <a:lstStyle/>
          <a:p>
            <a:pPr>
              <a:defRPr sz="1000" b="1" i="1">
                <a:latin typeface="+mj-lt"/>
              </a:defRPr>
            </a:pPr>
            <a:endParaRPr lang="ru-RU"/>
          </a:p>
        </c:txPr>
      </c:legendEntry>
      <c:layout>
        <c:manualLayout>
          <c:xMode val="edge"/>
          <c:yMode val="edge"/>
          <c:x val="5.2672707368865326E-2"/>
          <c:y val="0.87308330069262452"/>
          <c:w val="0.92084453764888252"/>
          <c:h val="9.5511846411911946E-2"/>
        </c:manualLayout>
      </c:layout>
      <c:txPr>
        <a:bodyPr/>
        <a:lstStyle/>
        <a:p>
          <a:pPr>
            <a:defRPr sz="1000">
              <a:latin typeface="+mj-lt"/>
            </a:defRPr>
          </a:pPr>
          <a:endParaRPr lang="ru-RU"/>
        </a:p>
      </c:txPr>
    </c:legend>
    <c:plotVisOnly val="1"/>
    <c:dispBlanksAs val="gap"/>
  </c:chart>
  <c:spPr>
    <a:ln>
      <a:noFill/>
    </a:ln>
    <a:effectLst/>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mj-lt"/>
              </a:defRPr>
            </a:pPr>
            <a:r>
              <a:rPr lang="ru-RU" sz="1200"/>
              <a:t>Индексы цен производителей промышленной продукции 2013-2014 гг., в % к предыдущему месяцу</a:t>
            </a:r>
          </a:p>
        </c:rich>
      </c:tx>
      <c:layout>
        <c:manualLayout>
          <c:xMode val="edge"/>
          <c:yMode val="edge"/>
          <c:x val="0.12156649276078953"/>
          <c:y val="2.5959656261069972E-2"/>
        </c:manualLayout>
      </c:layout>
    </c:title>
    <c:plotArea>
      <c:layout>
        <c:manualLayout>
          <c:layoutTarget val="inner"/>
          <c:xMode val="edge"/>
          <c:yMode val="edge"/>
          <c:x val="4.9920916648338358E-2"/>
          <c:y val="0.10377678008043134"/>
          <c:w val="0.93077305896203533"/>
          <c:h val="0.67275540529093592"/>
        </c:manualLayout>
      </c:layout>
      <c:lineChart>
        <c:grouping val="standard"/>
        <c:ser>
          <c:idx val="1"/>
          <c:order val="0"/>
          <c:tx>
            <c:strRef>
              <c:f>'Индексы цен помесячно'!$B$8</c:f>
              <c:strCache>
                <c:ptCount val="1"/>
                <c:pt idx="0">
                  <c:v> Индекс цен производителей промышленной продукции, в процентах к предыдущему месяцу,2013 год в %</c:v>
                </c:pt>
              </c:strCache>
            </c:strRef>
          </c:tx>
          <c:spPr>
            <a:ln>
              <a:solidFill>
                <a:srgbClr val="0070C0"/>
              </a:solidFill>
            </a:ln>
          </c:spPr>
          <c:marker>
            <c:symbol val="diamond"/>
            <c:size val="7"/>
            <c:spPr>
              <a:solidFill>
                <a:srgbClr val="0070C0"/>
              </a:solidFill>
            </c:spPr>
          </c:marker>
          <c:dLbls>
            <c:dLbl>
              <c:idx val="0"/>
              <c:layout>
                <c:manualLayout>
                  <c:x val="-3.1994671994671993E-2"/>
                  <c:y val="2.5046069699878191E-2"/>
                </c:manualLayout>
              </c:layout>
              <c:dLblPos val="r"/>
              <c:showVal val="1"/>
            </c:dLbl>
            <c:dLbl>
              <c:idx val="2"/>
              <c:layout>
                <c:manualLayout>
                  <c:x val="-3.6064582836236377E-2"/>
                  <c:y val="2.8303131148295135E-2"/>
                </c:manualLayout>
              </c:layout>
              <c:dLblPos val="r"/>
              <c:showVal val="1"/>
            </c:dLbl>
            <c:dLbl>
              <c:idx val="6"/>
              <c:layout>
                <c:manualLayout>
                  <c:x val="3.9985068362190356E-3"/>
                  <c:y val="-7.9016169905752123E-3"/>
                </c:manualLayout>
              </c:layout>
              <c:dLblPos val="r"/>
              <c:showVal val="1"/>
            </c:dLbl>
            <c:dLbl>
              <c:idx val="10"/>
              <c:layout>
                <c:manualLayout>
                  <c:x val="-3.7768392766196444E-2"/>
                  <c:y val="3.027559086851991E-2"/>
                </c:manualLayout>
              </c:layout>
              <c:dLblPos val="r"/>
              <c:showVal val="1"/>
            </c:dLbl>
            <c:txPr>
              <a:bodyPr/>
              <a:lstStyle/>
              <a:p>
                <a:pPr>
                  <a:defRPr sz="1000" b="0" i="0">
                    <a:latin typeface="+mj-lt"/>
                  </a:defRPr>
                </a:pPr>
                <a:endParaRPr lang="ru-RU"/>
              </a:p>
            </c:txPr>
            <c:dLblPos val="t"/>
            <c:showVal val="1"/>
          </c:dLbls>
          <c:cat>
            <c:strRef>
              <c:f>'Индексы цен помесячно'!$C$2:$N$2</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'Индексы цен помесячно'!$C$8:$N$8</c:f>
              <c:numCache>
                <c:formatCode>#,##0.0</c:formatCode>
                <c:ptCount val="12"/>
                <c:pt idx="0">
                  <c:v>101.2</c:v>
                </c:pt>
                <c:pt idx="1">
                  <c:v>101.2</c:v>
                </c:pt>
                <c:pt idx="2">
                  <c:v>100.6</c:v>
                </c:pt>
                <c:pt idx="3">
                  <c:v>100.6</c:v>
                </c:pt>
                <c:pt idx="4">
                  <c:v>100.4</c:v>
                </c:pt>
                <c:pt idx="5">
                  <c:v>100.2</c:v>
                </c:pt>
                <c:pt idx="6">
                  <c:v>100.8</c:v>
                </c:pt>
                <c:pt idx="7">
                  <c:v>100.9</c:v>
                </c:pt>
                <c:pt idx="8">
                  <c:v>100.3</c:v>
                </c:pt>
                <c:pt idx="9">
                  <c:v>102</c:v>
                </c:pt>
                <c:pt idx="10">
                  <c:v>100.9</c:v>
                </c:pt>
                <c:pt idx="11">
                  <c:v>101.2</c:v>
                </c:pt>
              </c:numCache>
            </c:numRef>
          </c:val>
        </c:ser>
        <c:ser>
          <c:idx val="0"/>
          <c:order val="1"/>
          <c:tx>
            <c:strRef>
              <c:f>'Индексы цен помесячно'!$B$9</c:f>
              <c:strCache>
                <c:ptCount val="1"/>
                <c:pt idx="0">
                  <c:v> Индекс цен производителей промышленной продукции, в процентах к предыдущему месяцу,2014 год в %</c:v>
                </c:pt>
              </c:strCache>
            </c:strRef>
          </c:tx>
          <c:spPr>
            <a:ln>
              <a:solidFill>
                <a:srgbClr val="CC0000"/>
              </a:solidFill>
            </a:ln>
          </c:spPr>
          <c:marker>
            <c:spPr>
              <a:solidFill>
                <a:srgbClr val="FF0000"/>
              </a:solidFill>
            </c:spPr>
          </c:marker>
          <c:dLbls>
            <c:dLbl>
              <c:idx val="0"/>
              <c:layout>
                <c:manualLayout>
                  <c:x val="-3.2767232767232791E-2"/>
                  <c:y val="-1.9314523015687601E-2"/>
                </c:manualLayout>
              </c:layout>
              <c:dLblPos val="r"/>
              <c:showVal val="1"/>
            </c:dLbl>
            <c:dLbl>
              <c:idx val="1"/>
              <c:layout>
                <c:manualLayout>
                  <c:x val="-2.8771228771228802E-2"/>
                  <c:y val="-2.3177427618825009E-2"/>
                </c:manualLayout>
              </c:layout>
              <c:dLblPos val="r"/>
              <c:showVal val="1"/>
            </c:dLbl>
            <c:dLbl>
              <c:idx val="2"/>
              <c:layout>
                <c:manualLayout>
                  <c:x val="-2.7439227439227578E-2"/>
                  <c:y val="-1.7383070714118806E-2"/>
                </c:manualLayout>
              </c:layout>
              <c:dLblPos val="r"/>
              <c:showVal val="1"/>
            </c:dLbl>
            <c:txPr>
              <a:bodyPr/>
              <a:lstStyle/>
              <a:p>
                <a:pPr>
                  <a:defRPr sz="1050" b="1" i="1">
                    <a:latin typeface="+mj-lt"/>
                  </a:defRPr>
                </a:pPr>
                <a:endParaRPr lang="ru-RU"/>
              </a:p>
            </c:txPr>
            <c:dLblPos val="ctr"/>
            <c:showVal val="1"/>
          </c:dLbls>
          <c:cat>
            <c:strRef>
              <c:f>'Индексы цен помесячно'!$C$2:$N$2</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'Индексы цен помесячно'!$C$9:$N$9</c:f>
              <c:numCache>
                <c:formatCode>#,##0.0</c:formatCode>
                <c:ptCount val="12"/>
                <c:pt idx="0">
                  <c:v>101.3</c:v>
                </c:pt>
                <c:pt idx="1">
                  <c:v>100.9</c:v>
                </c:pt>
                <c:pt idx="2">
                  <c:v>100.8</c:v>
                </c:pt>
              </c:numCache>
            </c:numRef>
          </c:val>
        </c:ser>
        <c:marker val="1"/>
        <c:axId val="88601728"/>
        <c:axId val="88603264"/>
      </c:lineChart>
      <c:catAx>
        <c:axId val="88601728"/>
        <c:scaling>
          <c:orientation val="minMax"/>
        </c:scaling>
        <c:axPos val="b"/>
        <c:majorGridlines/>
        <c:numFmt formatCode="mmm/yy" sourceLinked="1"/>
        <c:tickLblPos val="low"/>
        <c:txPr>
          <a:bodyPr/>
          <a:lstStyle/>
          <a:p>
            <a:pPr>
              <a:defRPr sz="900">
                <a:latin typeface="+mj-lt"/>
              </a:defRPr>
            </a:pPr>
            <a:endParaRPr lang="ru-RU"/>
          </a:p>
        </c:txPr>
        <c:crossAx val="88603264"/>
        <c:crosses val="autoZero"/>
        <c:auto val="1"/>
        <c:lblAlgn val="ctr"/>
        <c:lblOffset val="100"/>
      </c:catAx>
      <c:valAx>
        <c:axId val="88603264"/>
        <c:scaling>
          <c:orientation val="minMax"/>
          <c:max val="103"/>
          <c:min val="100"/>
        </c:scaling>
        <c:axPos val="l"/>
        <c:majorGridlines/>
        <c:numFmt formatCode="#,##0" sourceLinked="0"/>
        <c:tickLblPos val="nextTo"/>
        <c:txPr>
          <a:bodyPr/>
          <a:lstStyle/>
          <a:p>
            <a:pPr>
              <a:defRPr sz="1000">
                <a:latin typeface="+mj-lt"/>
              </a:defRPr>
            </a:pPr>
            <a:endParaRPr lang="ru-RU"/>
          </a:p>
        </c:txPr>
        <c:crossAx val="88601728"/>
        <c:crosses val="autoZero"/>
        <c:crossBetween val="between"/>
        <c:majorUnit val="1"/>
        <c:minorUnit val="0.5"/>
      </c:valAx>
      <c:spPr>
        <a:solidFill>
          <a:schemeClr val="bg1">
            <a:lumMod val="95000"/>
          </a:schemeClr>
        </a:solidFill>
      </c:spPr>
    </c:plotArea>
    <c:legend>
      <c:legendPos val="r"/>
      <c:legendEntry>
        <c:idx val="0"/>
        <c:txPr>
          <a:bodyPr/>
          <a:lstStyle/>
          <a:p>
            <a:pPr>
              <a:defRPr sz="1000" b="0" i="0">
                <a:latin typeface="+mj-lt"/>
              </a:defRPr>
            </a:pPr>
            <a:endParaRPr lang="ru-RU"/>
          </a:p>
        </c:txPr>
      </c:legendEntry>
      <c:layout>
        <c:manualLayout>
          <c:xMode val="edge"/>
          <c:yMode val="edge"/>
          <c:x val="5.0314537053508149E-2"/>
          <c:y val="0.86268697256714466"/>
          <c:w val="0.87900086313435344"/>
          <c:h val="0.10541117746082529"/>
        </c:manualLayout>
      </c:layout>
      <c:txPr>
        <a:bodyPr/>
        <a:lstStyle/>
        <a:p>
          <a:pPr>
            <a:defRPr sz="1000">
              <a:latin typeface="+mj-lt"/>
            </a:defRPr>
          </a:pPr>
          <a:endParaRPr lang="ru-RU"/>
        </a:p>
      </c:txPr>
    </c:legend>
    <c:plotVisOnly val="1"/>
    <c:dispBlanksAs val="gap"/>
  </c:chart>
  <c:spPr>
    <a:ln>
      <a:noFill/>
    </a:ln>
    <a:effectLst/>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9E7A-4D9A-4D80-BA14-2B4AFA6D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13699</Words>
  <Characters>78085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АНАЛИТИЧЕСКИЙ ОБЗОР</vt:lpstr>
    </vt:vector>
  </TitlesOfParts>
  <Company>Reanimator Extreme Edition</Company>
  <LinksUpToDate>false</LinksUpToDate>
  <CharactersWithSpaces>91601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ОБЗОР</dc:title>
  <dc:creator>Serzhanovich Ales</dc:creator>
  <cp:lastModifiedBy>Alcom</cp:lastModifiedBy>
  <cp:revision>2</cp:revision>
  <cp:lastPrinted>2012-12-21T16:06:00Z</cp:lastPrinted>
  <dcterms:created xsi:type="dcterms:W3CDTF">2014-05-12T07:36:00Z</dcterms:created>
  <dcterms:modified xsi:type="dcterms:W3CDTF">2014-05-12T07:36:00Z</dcterms:modified>
</cp:coreProperties>
</file>